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8FA77" w14:textId="2CB62D73" w:rsidR="008E34FE" w:rsidRPr="000F0B54" w:rsidRDefault="000F0B54" w:rsidP="00797BB7">
      <w:pPr>
        <w:spacing w:after="100" w:afterAutospacing="1"/>
        <w:rPr>
          <w:rFonts w:asciiTheme="majorHAnsi" w:eastAsiaTheme="majorEastAsia" w:hAnsiTheme="majorHAnsi" w:cstheme="majorHAnsi"/>
          <w:b/>
          <w:bCs/>
          <w:sz w:val="22"/>
          <w:szCs w:val="22"/>
          <w:lang w:val="en-GB"/>
        </w:rPr>
      </w:pPr>
      <w:r w:rsidRPr="000F0B54">
        <w:rPr>
          <w:rFonts w:asciiTheme="majorHAnsi" w:eastAsiaTheme="majorEastAsia" w:hAnsiTheme="majorHAnsi" w:cstheme="majorHAnsi"/>
          <w:b/>
          <w:bCs/>
          <w:sz w:val="22"/>
          <w:szCs w:val="22"/>
          <w:lang w:val="en-GB"/>
        </w:rPr>
        <w:t xml:space="preserve">Job Advert: Nurse Practitioner / Paramedic – Acute Home Visiting Service </w:t>
      </w:r>
    </w:p>
    <w:p w14:paraId="3CC19C39" w14:textId="3E98A5B1" w:rsidR="009E02C6" w:rsidRDefault="000F0B54" w:rsidP="000F0B54">
      <w:pPr>
        <w:spacing w:after="0"/>
        <w:rPr>
          <w:rFonts w:asciiTheme="majorHAnsi" w:eastAsiaTheme="majorEastAsia" w:hAnsiTheme="majorHAnsi" w:cstheme="majorHAnsi"/>
          <w:sz w:val="22"/>
          <w:szCs w:val="22"/>
        </w:rPr>
      </w:pPr>
      <w:r w:rsidRPr="000F0B54">
        <w:rPr>
          <w:rFonts w:asciiTheme="majorHAnsi" w:eastAsiaTheme="majorEastAsia" w:hAnsiTheme="majorHAnsi" w:cstheme="majorHAnsi"/>
          <w:b/>
          <w:bCs/>
          <w:sz w:val="22"/>
          <w:szCs w:val="22"/>
          <w:lang w:val="en-GB"/>
        </w:rPr>
        <w:t>Employer:</w:t>
      </w:r>
      <w:r w:rsidRPr="000F0B54">
        <w:rPr>
          <w:rFonts w:asciiTheme="majorHAnsi" w:eastAsiaTheme="majorEastAsia" w:hAnsiTheme="majorHAnsi" w:cstheme="majorHAnsi"/>
          <w:sz w:val="22"/>
          <w:szCs w:val="22"/>
          <w:lang w:val="en-GB"/>
        </w:rPr>
        <w:t xml:space="preserve"> </w:t>
      </w:r>
      <w:r w:rsidR="008E34FE">
        <w:rPr>
          <w:rFonts w:asciiTheme="majorHAnsi" w:eastAsiaTheme="majorEastAsia" w:hAnsiTheme="majorHAnsi" w:cstheme="majorHAnsi"/>
          <w:sz w:val="22"/>
          <w:szCs w:val="22"/>
          <w:lang w:val="en-GB"/>
        </w:rPr>
        <w:t xml:space="preserve">Winchester Rural South </w:t>
      </w:r>
      <w:r w:rsidRPr="000F0B54">
        <w:rPr>
          <w:rFonts w:asciiTheme="majorHAnsi" w:eastAsiaTheme="majorEastAsia" w:hAnsiTheme="majorHAnsi" w:cstheme="majorHAnsi"/>
          <w:sz w:val="22"/>
          <w:szCs w:val="22"/>
          <w:lang w:val="en-GB"/>
        </w:rPr>
        <w:t>Primary Care Network (PCN)</w:t>
      </w:r>
      <w:r w:rsidRPr="000F0B54">
        <w:rPr>
          <w:rFonts w:asciiTheme="majorHAnsi" w:eastAsiaTheme="majorEastAsia" w:hAnsiTheme="majorHAnsi" w:cstheme="majorHAnsi"/>
          <w:sz w:val="22"/>
          <w:szCs w:val="22"/>
          <w:lang w:val="en-GB"/>
        </w:rPr>
        <w:br/>
      </w:r>
      <w:r w:rsidRPr="000F0B54">
        <w:rPr>
          <w:rFonts w:asciiTheme="majorHAnsi" w:eastAsiaTheme="majorEastAsia" w:hAnsiTheme="majorHAnsi" w:cstheme="majorHAnsi"/>
          <w:b/>
          <w:bCs/>
          <w:sz w:val="22"/>
          <w:szCs w:val="22"/>
          <w:lang w:val="en-GB"/>
        </w:rPr>
        <w:t>Salary:</w:t>
      </w:r>
      <w:r w:rsidRPr="000F0B54">
        <w:rPr>
          <w:rFonts w:asciiTheme="majorHAnsi" w:eastAsiaTheme="majorEastAsia" w:hAnsiTheme="majorHAnsi" w:cstheme="majorHAnsi"/>
          <w:sz w:val="22"/>
          <w:szCs w:val="22"/>
          <w:lang w:val="en-GB"/>
        </w:rPr>
        <w:t xml:space="preserve"> </w:t>
      </w:r>
      <w:r w:rsidR="009E02C6" w:rsidRPr="009E02C6">
        <w:rPr>
          <w:rFonts w:asciiTheme="majorHAnsi" w:eastAsiaTheme="majorEastAsia" w:hAnsiTheme="majorHAnsi" w:cstheme="majorHAnsi"/>
          <w:sz w:val="22"/>
          <w:szCs w:val="22"/>
        </w:rPr>
        <w:t>£4</w:t>
      </w:r>
      <w:r w:rsidR="00797BB7">
        <w:rPr>
          <w:rFonts w:asciiTheme="majorHAnsi" w:eastAsiaTheme="majorEastAsia" w:hAnsiTheme="majorHAnsi" w:cstheme="majorHAnsi"/>
          <w:sz w:val="22"/>
          <w:szCs w:val="22"/>
        </w:rPr>
        <w:t xml:space="preserve">5,000 </w:t>
      </w:r>
      <w:r w:rsidR="009E02C6" w:rsidRPr="009E02C6">
        <w:rPr>
          <w:rFonts w:asciiTheme="majorHAnsi" w:eastAsiaTheme="majorEastAsia" w:hAnsiTheme="majorHAnsi" w:cstheme="majorHAnsi"/>
          <w:sz w:val="22"/>
          <w:szCs w:val="22"/>
        </w:rPr>
        <w:t>to £</w:t>
      </w:r>
      <w:r w:rsidR="00797BB7">
        <w:rPr>
          <w:rFonts w:asciiTheme="majorHAnsi" w:eastAsiaTheme="majorEastAsia" w:hAnsiTheme="majorHAnsi" w:cstheme="majorHAnsi"/>
          <w:sz w:val="22"/>
          <w:szCs w:val="22"/>
        </w:rPr>
        <w:t>54,000</w:t>
      </w:r>
      <w:r w:rsidR="009E02C6" w:rsidRPr="009E02C6">
        <w:rPr>
          <w:rFonts w:asciiTheme="majorHAnsi" w:eastAsiaTheme="majorEastAsia" w:hAnsiTheme="majorHAnsi" w:cstheme="majorHAnsi"/>
          <w:sz w:val="22"/>
          <w:szCs w:val="22"/>
        </w:rPr>
        <w:t xml:space="preserve"> </w:t>
      </w:r>
      <w:r w:rsidR="009E02C6">
        <w:rPr>
          <w:rFonts w:asciiTheme="majorHAnsi" w:eastAsiaTheme="majorEastAsia" w:hAnsiTheme="majorHAnsi" w:cstheme="majorHAnsi"/>
          <w:sz w:val="22"/>
          <w:szCs w:val="22"/>
        </w:rPr>
        <w:t>pro-rata</w:t>
      </w:r>
    </w:p>
    <w:p w14:paraId="769915A1" w14:textId="1949270D" w:rsidR="009E02C6" w:rsidRPr="009E02C6" w:rsidRDefault="009E02C6" w:rsidP="000F0B54">
      <w:pPr>
        <w:spacing w:after="0"/>
        <w:rPr>
          <w:rFonts w:asciiTheme="majorHAnsi" w:eastAsiaTheme="majorEastAsia" w:hAnsiTheme="majorHAnsi" w:cstheme="majorHAnsi"/>
          <w:sz w:val="22"/>
          <w:szCs w:val="22"/>
          <w:lang w:val="en-GB"/>
        </w:rPr>
      </w:pPr>
      <w:r>
        <w:rPr>
          <w:rFonts w:asciiTheme="majorHAnsi" w:eastAsiaTheme="majorEastAsia" w:hAnsiTheme="majorHAnsi" w:cstheme="majorHAnsi"/>
          <w:b/>
          <w:bCs/>
          <w:sz w:val="22"/>
          <w:szCs w:val="22"/>
        </w:rPr>
        <w:t xml:space="preserve">Contract: </w:t>
      </w:r>
      <w:r>
        <w:rPr>
          <w:rFonts w:asciiTheme="majorHAnsi" w:eastAsiaTheme="majorEastAsia" w:hAnsiTheme="majorHAnsi" w:cstheme="majorHAnsi"/>
          <w:sz w:val="22"/>
          <w:szCs w:val="22"/>
        </w:rPr>
        <w:t xml:space="preserve">Permanent </w:t>
      </w:r>
    </w:p>
    <w:p w14:paraId="6942E7BA" w14:textId="451E0E3B" w:rsidR="0048477C" w:rsidRDefault="009E02C6" w:rsidP="000F0B54">
      <w:pPr>
        <w:spacing w:after="0"/>
        <w:rPr>
          <w:rFonts w:asciiTheme="majorHAnsi" w:eastAsiaTheme="majorEastAsia" w:hAnsiTheme="majorHAnsi" w:cstheme="majorHAnsi"/>
          <w:sz w:val="22"/>
          <w:szCs w:val="22"/>
          <w:lang w:val="en-GB"/>
        </w:rPr>
      </w:pPr>
      <w:r>
        <w:rPr>
          <w:rFonts w:asciiTheme="majorHAnsi" w:eastAsiaTheme="majorEastAsia" w:hAnsiTheme="majorHAnsi" w:cstheme="majorHAnsi"/>
          <w:b/>
          <w:bCs/>
          <w:sz w:val="22"/>
          <w:szCs w:val="22"/>
          <w:lang w:val="en-GB"/>
        </w:rPr>
        <w:t xml:space="preserve">Hours: </w:t>
      </w:r>
      <w:r>
        <w:rPr>
          <w:rFonts w:asciiTheme="majorHAnsi" w:eastAsiaTheme="majorEastAsia" w:hAnsiTheme="majorHAnsi" w:cstheme="majorHAnsi"/>
          <w:sz w:val="22"/>
          <w:szCs w:val="22"/>
          <w:lang w:val="en-GB"/>
        </w:rPr>
        <w:t xml:space="preserve">3 part-time positions available </w:t>
      </w:r>
      <w:r w:rsidR="000F0B54" w:rsidRPr="000F0B54">
        <w:rPr>
          <w:rFonts w:asciiTheme="majorHAnsi" w:eastAsiaTheme="majorEastAsia" w:hAnsiTheme="majorHAnsi" w:cstheme="majorHAnsi"/>
          <w:sz w:val="22"/>
          <w:szCs w:val="22"/>
          <w:lang w:val="en-GB"/>
        </w:rPr>
        <w:br/>
      </w:r>
      <w:r>
        <w:rPr>
          <w:rFonts w:asciiTheme="majorHAnsi" w:eastAsiaTheme="majorEastAsia" w:hAnsiTheme="majorHAnsi" w:cstheme="majorHAnsi"/>
          <w:b/>
          <w:bCs/>
          <w:sz w:val="22"/>
          <w:szCs w:val="22"/>
          <w:lang w:val="en-GB"/>
        </w:rPr>
        <w:t xml:space="preserve">Working Pattern: </w:t>
      </w:r>
      <w:r w:rsidRPr="009E02C6">
        <w:t xml:space="preserve"> </w:t>
      </w:r>
      <w:r w:rsidRPr="009E02C6">
        <w:rPr>
          <w:rFonts w:asciiTheme="majorHAnsi" w:eastAsiaTheme="majorEastAsia" w:hAnsiTheme="majorHAnsi" w:cstheme="majorHAnsi"/>
          <w:sz w:val="22"/>
          <w:szCs w:val="22"/>
        </w:rPr>
        <w:t>Monday–Friday, between 08:00–18:30 (</w:t>
      </w:r>
      <w:r>
        <w:rPr>
          <w:rFonts w:asciiTheme="majorHAnsi" w:eastAsiaTheme="majorEastAsia" w:hAnsiTheme="majorHAnsi" w:cstheme="majorHAnsi"/>
          <w:sz w:val="22"/>
          <w:szCs w:val="22"/>
        </w:rPr>
        <w:t>3</w:t>
      </w:r>
      <w:r w:rsidRPr="009E02C6">
        <w:rPr>
          <w:rFonts w:asciiTheme="majorHAnsi" w:eastAsiaTheme="majorEastAsia" w:hAnsiTheme="majorHAnsi" w:cstheme="majorHAnsi"/>
          <w:sz w:val="22"/>
          <w:szCs w:val="22"/>
        </w:rPr>
        <w:t xml:space="preserve"> part-time roles will collectively cover these hours)</w:t>
      </w:r>
      <w:r w:rsidR="000F0B54" w:rsidRPr="000F0B54">
        <w:rPr>
          <w:rFonts w:asciiTheme="majorHAnsi" w:eastAsiaTheme="majorEastAsia" w:hAnsiTheme="majorHAnsi" w:cstheme="majorHAnsi"/>
          <w:sz w:val="22"/>
          <w:szCs w:val="22"/>
          <w:lang w:val="en-GB"/>
        </w:rPr>
        <w:br/>
      </w:r>
      <w:r w:rsidR="000F0B54" w:rsidRPr="000F0B54">
        <w:rPr>
          <w:rFonts w:asciiTheme="majorHAnsi" w:eastAsiaTheme="majorEastAsia" w:hAnsiTheme="majorHAnsi" w:cstheme="majorHAnsi"/>
          <w:b/>
          <w:bCs/>
          <w:sz w:val="22"/>
          <w:szCs w:val="22"/>
          <w:lang w:val="en-GB"/>
        </w:rPr>
        <w:t>Location</w:t>
      </w:r>
      <w:r w:rsidR="000F0B54">
        <w:rPr>
          <w:rFonts w:asciiTheme="majorHAnsi" w:eastAsiaTheme="majorEastAsia" w:hAnsiTheme="majorHAnsi" w:cstheme="majorHAnsi"/>
          <w:b/>
          <w:bCs/>
          <w:sz w:val="22"/>
          <w:szCs w:val="22"/>
          <w:lang w:val="en-GB"/>
        </w:rPr>
        <w:t xml:space="preserve">: </w:t>
      </w:r>
      <w:r w:rsidR="000F0B54" w:rsidRPr="000F0B54">
        <w:rPr>
          <w:rFonts w:asciiTheme="majorHAnsi" w:eastAsiaTheme="majorEastAsia" w:hAnsiTheme="majorHAnsi" w:cstheme="majorHAnsi"/>
          <w:sz w:val="22"/>
          <w:szCs w:val="22"/>
          <w:lang w:val="en-GB"/>
        </w:rPr>
        <w:t xml:space="preserve">Winchester Rural South PCN </w:t>
      </w:r>
      <w:r w:rsidR="0048477C">
        <w:rPr>
          <w:rFonts w:asciiTheme="majorHAnsi" w:eastAsiaTheme="majorEastAsia" w:hAnsiTheme="majorHAnsi" w:cstheme="majorHAnsi"/>
          <w:sz w:val="22"/>
          <w:szCs w:val="22"/>
          <w:lang w:val="en-GB"/>
        </w:rPr>
        <w:t xml:space="preserve">(Bishops Waltham Surgery, Stokewood Surgery, </w:t>
      </w:r>
      <w:r w:rsidR="000F0B54" w:rsidRPr="000F0B54">
        <w:rPr>
          <w:rFonts w:asciiTheme="majorHAnsi" w:eastAsiaTheme="majorEastAsia" w:hAnsiTheme="majorHAnsi" w:cstheme="majorHAnsi"/>
          <w:sz w:val="22"/>
          <w:szCs w:val="22"/>
          <w:lang w:val="en-GB"/>
        </w:rPr>
        <w:t>Twyford Surgery</w:t>
      </w:r>
      <w:r w:rsidR="000F0B54">
        <w:rPr>
          <w:rFonts w:asciiTheme="majorHAnsi" w:eastAsiaTheme="majorEastAsia" w:hAnsiTheme="majorHAnsi" w:cstheme="majorHAnsi"/>
          <w:b/>
          <w:bCs/>
          <w:sz w:val="22"/>
          <w:szCs w:val="22"/>
          <w:lang w:val="en-GB"/>
        </w:rPr>
        <w:t xml:space="preserve"> </w:t>
      </w:r>
      <w:r w:rsidR="0048477C">
        <w:rPr>
          <w:rFonts w:asciiTheme="majorHAnsi" w:eastAsiaTheme="majorEastAsia" w:hAnsiTheme="majorHAnsi" w:cstheme="majorHAnsi"/>
          <w:sz w:val="22"/>
          <w:szCs w:val="22"/>
          <w:lang w:val="en-GB"/>
        </w:rPr>
        <w:t>&amp; Wickham Surgery)</w:t>
      </w:r>
    </w:p>
    <w:p w14:paraId="712D54E5" w14:textId="3367E9C7" w:rsidR="000F0B54" w:rsidRDefault="000F0B54" w:rsidP="000F0B54">
      <w:pPr>
        <w:spacing w:after="0"/>
        <w:rPr>
          <w:rFonts w:asciiTheme="majorHAnsi" w:eastAsiaTheme="majorEastAsia" w:hAnsiTheme="majorHAnsi" w:cstheme="majorHAnsi"/>
          <w:sz w:val="22"/>
          <w:szCs w:val="22"/>
          <w:lang w:val="en-GB"/>
        </w:rPr>
      </w:pPr>
      <w:r w:rsidRPr="000F0B54">
        <w:rPr>
          <w:rFonts w:asciiTheme="majorHAnsi" w:eastAsiaTheme="majorEastAsia" w:hAnsiTheme="majorHAnsi" w:cstheme="majorHAnsi"/>
          <w:b/>
          <w:bCs/>
          <w:sz w:val="22"/>
          <w:szCs w:val="22"/>
          <w:lang w:val="en-GB"/>
        </w:rPr>
        <w:t>Reports to:</w:t>
      </w:r>
      <w:r w:rsidRPr="000F0B54">
        <w:rPr>
          <w:rFonts w:asciiTheme="majorHAnsi" w:eastAsiaTheme="majorEastAsia" w:hAnsiTheme="majorHAnsi" w:cstheme="majorHAnsi"/>
          <w:sz w:val="22"/>
          <w:szCs w:val="22"/>
          <w:lang w:val="en-GB"/>
        </w:rPr>
        <w:t xml:space="preserve"> PCN Clinical Lead / GP Lead</w:t>
      </w:r>
      <w:r w:rsidR="0048477C">
        <w:rPr>
          <w:rFonts w:asciiTheme="majorHAnsi" w:eastAsiaTheme="majorEastAsia" w:hAnsiTheme="majorHAnsi" w:cstheme="majorHAnsi"/>
          <w:sz w:val="22"/>
          <w:szCs w:val="22"/>
          <w:lang w:val="en-GB"/>
        </w:rPr>
        <w:t xml:space="preserve"> / PCN Manager </w:t>
      </w:r>
    </w:p>
    <w:p w14:paraId="79024E27" w14:textId="3F5D99EE" w:rsidR="009E02C6" w:rsidRDefault="008E34FE" w:rsidP="00797BB7">
      <w:pPr>
        <w:spacing w:after="0"/>
        <w:rPr>
          <w:rFonts w:asciiTheme="majorHAnsi" w:eastAsiaTheme="majorEastAsia" w:hAnsiTheme="majorHAnsi" w:cstheme="majorHAnsi"/>
          <w:sz w:val="22"/>
          <w:szCs w:val="22"/>
          <w:lang w:val="en-GB"/>
        </w:rPr>
      </w:pPr>
      <w:r w:rsidRPr="008E34FE">
        <w:rPr>
          <w:rFonts w:asciiTheme="majorHAnsi" w:eastAsiaTheme="majorEastAsia" w:hAnsiTheme="majorHAnsi" w:cstheme="majorHAnsi"/>
          <w:b/>
          <w:bCs/>
          <w:sz w:val="22"/>
          <w:szCs w:val="22"/>
          <w:lang w:val="en-GB"/>
        </w:rPr>
        <w:t>Start date:</w:t>
      </w:r>
      <w:r>
        <w:rPr>
          <w:rFonts w:asciiTheme="majorHAnsi" w:eastAsiaTheme="majorEastAsia" w:hAnsiTheme="majorHAnsi" w:cstheme="majorHAnsi"/>
          <w:b/>
          <w:bCs/>
          <w:sz w:val="22"/>
          <w:szCs w:val="22"/>
          <w:lang w:val="en-GB"/>
        </w:rPr>
        <w:t xml:space="preserve"> </w:t>
      </w:r>
      <w:r w:rsidRPr="008E34FE">
        <w:rPr>
          <w:rFonts w:asciiTheme="majorHAnsi" w:eastAsiaTheme="majorEastAsia" w:hAnsiTheme="majorHAnsi" w:cstheme="majorHAnsi"/>
          <w:sz w:val="22"/>
          <w:szCs w:val="22"/>
          <w:lang w:val="en-GB"/>
        </w:rPr>
        <w:t>1</w:t>
      </w:r>
      <w:r w:rsidRPr="008E34FE">
        <w:rPr>
          <w:rFonts w:asciiTheme="majorHAnsi" w:eastAsiaTheme="majorEastAsia" w:hAnsiTheme="majorHAnsi" w:cstheme="majorHAnsi"/>
          <w:sz w:val="22"/>
          <w:szCs w:val="22"/>
          <w:vertAlign w:val="superscript"/>
          <w:lang w:val="en-GB"/>
        </w:rPr>
        <w:t>st</w:t>
      </w:r>
      <w:r w:rsidRPr="008E34FE">
        <w:rPr>
          <w:rFonts w:asciiTheme="majorHAnsi" w:eastAsiaTheme="majorEastAsia" w:hAnsiTheme="majorHAnsi" w:cstheme="majorHAnsi"/>
          <w:sz w:val="22"/>
          <w:szCs w:val="22"/>
          <w:lang w:val="en-GB"/>
        </w:rPr>
        <w:t xml:space="preserve"> April 2025</w:t>
      </w:r>
    </w:p>
    <w:p w14:paraId="50FB4A41" w14:textId="77777777" w:rsidR="00797BB7" w:rsidRDefault="00797BB7" w:rsidP="00797BB7">
      <w:pPr>
        <w:spacing w:after="0"/>
        <w:rPr>
          <w:rFonts w:asciiTheme="majorHAnsi" w:hAnsiTheme="majorHAnsi" w:cstheme="majorHAnsi"/>
          <w:sz w:val="22"/>
          <w:szCs w:val="22"/>
        </w:rPr>
      </w:pPr>
      <w:r>
        <w:rPr>
          <w:rFonts w:asciiTheme="majorHAnsi" w:eastAsiaTheme="majorEastAsia" w:hAnsiTheme="majorHAnsi" w:cstheme="majorHAnsi"/>
          <w:b/>
          <w:bCs/>
          <w:sz w:val="22"/>
          <w:szCs w:val="22"/>
          <w:lang w:val="en-GB"/>
        </w:rPr>
        <w:t xml:space="preserve">Interview dates: </w:t>
      </w:r>
      <w:r w:rsidRPr="00797BB7">
        <w:rPr>
          <w:rFonts w:asciiTheme="majorHAnsi" w:hAnsiTheme="majorHAnsi" w:cstheme="majorHAnsi"/>
          <w:sz w:val="22"/>
          <w:szCs w:val="22"/>
        </w:rPr>
        <w:t>15</w:t>
      </w:r>
      <w:r w:rsidRPr="00797BB7">
        <w:rPr>
          <w:rFonts w:asciiTheme="majorHAnsi" w:hAnsiTheme="majorHAnsi" w:cstheme="majorHAnsi"/>
          <w:sz w:val="22"/>
          <w:szCs w:val="22"/>
          <w:vertAlign w:val="superscript"/>
        </w:rPr>
        <w:t>th</w:t>
      </w:r>
      <w:r w:rsidRPr="00797BB7">
        <w:rPr>
          <w:rFonts w:asciiTheme="majorHAnsi" w:hAnsiTheme="majorHAnsi" w:cstheme="majorHAnsi"/>
          <w:sz w:val="22"/>
          <w:szCs w:val="22"/>
        </w:rPr>
        <w:t xml:space="preserve"> and 22</w:t>
      </w:r>
      <w:r w:rsidRPr="00797BB7">
        <w:rPr>
          <w:rFonts w:asciiTheme="majorHAnsi" w:hAnsiTheme="majorHAnsi" w:cstheme="majorHAnsi"/>
          <w:sz w:val="22"/>
          <w:szCs w:val="22"/>
          <w:vertAlign w:val="superscript"/>
        </w:rPr>
        <w:t>nd</w:t>
      </w:r>
      <w:r w:rsidRPr="00797BB7">
        <w:rPr>
          <w:rFonts w:asciiTheme="majorHAnsi" w:hAnsiTheme="majorHAnsi" w:cstheme="majorHAnsi"/>
          <w:sz w:val="22"/>
          <w:szCs w:val="22"/>
        </w:rPr>
        <w:t xml:space="preserve"> January 2026 at </w:t>
      </w:r>
      <w:proofErr w:type="spellStart"/>
      <w:r w:rsidRPr="00797BB7">
        <w:rPr>
          <w:rFonts w:asciiTheme="majorHAnsi" w:hAnsiTheme="majorHAnsi" w:cstheme="majorHAnsi"/>
          <w:sz w:val="22"/>
          <w:szCs w:val="22"/>
        </w:rPr>
        <w:t>Twyford</w:t>
      </w:r>
      <w:proofErr w:type="spellEnd"/>
      <w:r w:rsidRPr="00797BB7">
        <w:rPr>
          <w:rFonts w:asciiTheme="majorHAnsi" w:hAnsiTheme="majorHAnsi" w:cstheme="majorHAnsi"/>
          <w:sz w:val="22"/>
          <w:szCs w:val="22"/>
        </w:rPr>
        <w:t xml:space="preserve"> Surgery. </w:t>
      </w:r>
    </w:p>
    <w:p w14:paraId="09CAE2C7" w14:textId="00B104F6" w:rsidR="00797BB7" w:rsidRDefault="00797BB7" w:rsidP="00797BB7">
      <w:pPr>
        <w:spacing w:after="0"/>
        <w:rPr>
          <w:rFonts w:asciiTheme="majorHAnsi" w:hAnsiTheme="majorHAnsi" w:cstheme="majorHAnsi"/>
          <w:sz w:val="22"/>
          <w:szCs w:val="22"/>
        </w:rPr>
      </w:pPr>
      <w:r w:rsidRPr="00797BB7">
        <w:rPr>
          <w:rFonts w:asciiTheme="majorHAnsi" w:hAnsiTheme="majorHAnsi" w:cstheme="majorHAnsi"/>
          <w:b/>
          <w:bCs/>
          <w:sz w:val="22"/>
          <w:szCs w:val="22"/>
        </w:rPr>
        <w:t>Contact:</w:t>
      </w:r>
      <w:r>
        <w:rPr>
          <w:rFonts w:asciiTheme="majorHAnsi" w:hAnsiTheme="majorHAnsi" w:cstheme="majorHAnsi"/>
          <w:sz w:val="22"/>
          <w:szCs w:val="22"/>
        </w:rPr>
        <w:t xml:space="preserve"> Sophie Speirs, PCN Manager </w:t>
      </w:r>
      <w:hyperlink r:id="rId8" w:history="1">
        <w:r>
          <w:rPr>
            <w:rStyle w:val="Hyperlink"/>
            <w:rFonts w:asciiTheme="majorHAnsi" w:hAnsiTheme="majorHAnsi" w:cstheme="majorHAnsi"/>
            <w:sz w:val="22"/>
            <w:szCs w:val="22"/>
          </w:rPr>
          <w:t>sophie.speirs@nhs.net</w:t>
        </w:r>
      </w:hyperlink>
    </w:p>
    <w:p w14:paraId="08CD8419" w14:textId="77777777" w:rsidR="00797BB7" w:rsidRPr="009E02C6" w:rsidRDefault="00797BB7" w:rsidP="00797BB7">
      <w:pPr>
        <w:spacing w:after="0"/>
        <w:rPr>
          <w:rFonts w:asciiTheme="majorHAnsi" w:eastAsiaTheme="majorEastAsia" w:hAnsiTheme="majorHAnsi" w:cstheme="majorHAnsi"/>
          <w:sz w:val="22"/>
          <w:szCs w:val="22"/>
          <w:lang w:val="en-GB"/>
        </w:rPr>
      </w:pPr>
    </w:p>
    <w:p w14:paraId="2F8BA5B3" w14:textId="04E1E543" w:rsidR="000F0B54" w:rsidRPr="000F0B54" w:rsidRDefault="000F0B54" w:rsidP="000F0B54">
      <w:pPr>
        <w:spacing w:after="0"/>
        <w:rPr>
          <w:rFonts w:asciiTheme="majorHAnsi" w:eastAsiaTheme="majorEastAsia" w:hAnsiTheme="majorHAnsi" w:cstheme="majorHAnsi"/>
          <w:b/>
          <w:bCs/>
          <w:sz w:val="22"/>
          <w:szCs w:val="22"/>
          <w:lang w:val="en-GB"/>
        </w:rPr>
      </w:pPr>
      <w:r>
        <w:rPr>
          <w:rFonts w:asciiTheme="majorHAnsi" w:eastAsiaTheme="majorEastAsia" w:hAnsiTheme="majorHAnsi" w:cstheme="majorHAnsi"/>
          <w:b/>
          <w:bCs/>
          <w:sz w:val="22"/>
          <w:szCs w:val="22"/>
          <w:lang w:val="en-GB"/>
        </w:rPr>
        <w:t>About Us</w:t>
      </w:r>
    </w:p>
    <w:p w14:paraId="5B026FB6" w14:textId="76C662EF" w:rsidR="000F0B54" w:rsidRPr="000F0B54" w:rsidRDefault="000F0B54" w:rsidP="000F0B54">
      <w:pPr>
        <w:spacing w:after="0"/>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rPr>
        <w:t>Winchester Rural South Primary Care Network is a collaborative partnership of forward-thinking GP practices serving a semi-rural population</w:t>
      </w:r>
      <w:r w:rsidR="009E02C6">
        <w:rPr>
          <w:rFonts w:asciiTheme="majorHAnsi" w:eastAsiaTheme="majorEastAsia" w:hAnsiTheme="majorHAnsi" w:cstheme="majorHAnsi"/>
          <w:sz w:val="22"/>
          <w:szCs w:val="22"/>
        </w:rPr>
        <w:t xml:space="preserve"> of 57,000 patients</w:t>
      </w:r>
      <w:r w:rsidRPr="000F0B54">
        <w:rPr>
          <w:rFonts w:asciiTheme="majorHAnsi" w:eastAsiaTheme="majorEastAsia" w:hAnsiTheme="majorHAnsi" w:cstheme="majorHAnsi"/>
          <w:sz w:val="22"/>
          <w:szCs w:val="22"/>
        </w:rPr>
        <w:t>. The PCN is made up of Bishops Waltham Surgery,</w:t>
      </w:r>
      <w:r w:rsidR="0048477C">
        <w:rPr>
          <w:rFonts w:asciiTheme="majorHAnsi" w:eastAsiaTheme="majorEastAsia" w:hAnsiTheme="majorHAnsi" w:cstheme="majorHAnsi"/>
          <w:sz w:val="22"/>
          <w:szCs w:val="22"/>
        </w:rPr>
        <w:t xml:space="preserve"> </w:t>
      </w:r>
      <w:r w:rsidRPr="000F0B54">
        <w:rPr>
          <w:rFonts w:asciiTheme="majorHAnsi" w:eastAsiaTheme="majorEastAsia" w:hAnsiTheme="majorHAnsi" w:cstheme="majorHAnsi"/>
          <w:sz w:val="22"/>
          <w:szCs w:val="22"/>
        </w:rPr>
        <w:t xml:space="preserve">Stokewood Surgery, </w:t>
      </w:r>
      <w:proofErr w:type="spellStart"/>
      <w:r w:rsidR="0048477C">
        <w:rPr>
          <w:rFonts w:asciiTheme="majorHAnsi" w:eastAsiaTheme="majorEastAsia" w:hAnsiTheme="majorHAnsi" w:cstheme="majorHAnsi"/>
          <w:sz w:val="22"/>
          <w:szCs w:val="22"/>
        </w:rPr>
        <w:t>Twyford</w:t>
      </w:r>
      <w:proofErr w:type="spellEnd"/>
      <w:r w:rsidR="0048477C">
        <w:rPr>
          <w:rFonts w:asciiTheme="majorHAnsi" w:eastAsiaTheme="majorEastAsia" w:hAnsiTheme="majorHAnsi" w:cstheme="majorHAnsi"/>
          <w:sz w:val="22"/>
          <w:szCs w:val="22"/>
        </w:rPr>
        <w:t xml:space="preserve"> Surgery, and </w:t>
      </w:r>
      <w:r w:rsidR="0048477C" w:rsidRPr="000F0B54">
        <w:rPr>
          <w:rFonts w:asciiTheme="majorHAnsi" w:eastAsiaTheme="majorEastAsia" w:hAnsiTheme="majorHAnsi" w:cstheme="majorHAnsi"/>
          <w:sz w:val="22"/>
          <w:szCs w:val="22"/>
        </w:rPr>
        <w:t xml:space="preserve">Wickham Surgery, </w:t>
      </w:r>
      <w:r w:rsidRPr="000F0B54">
        <w:rPr>
          <w:rFonts w:asciiTheme="majorHAnsi" w:eastAsiaTheme="majorEastAsia" w:hAnsiTheme="majorHAnsi" w:cstheme="majorHAnsi"/>
          <w:sz w:val="22"/>
          <w:szCs w:val="22"/>
        </w:rPr>
        <w:t>working together to deliver high-quality, accessible, and sustainable primary care. We are committed to developing innovative community-based services that improve patient outcomes, strengthen same-day access, and enhance resilience across our practices. With strong multidisciplinary working and established local partnerships, we continue to invest in new models of care that support our workforce and meet the evolving needs of our population.</w:t>
      </w:r>
    </w:p>
    <w:p w14:paraId="011DDCF4" w14:textId="77777777" w:rsidR="000F0B54" w:rsidRDefault="000F0B54" w:rsidP="000F0B54">
      <w:pPr>
        <w:spacing w:after="0"/>
        <w:rPr>
          <w:rFonts w:asciiTheme="majorHAnsi" w:eastAsiaTheme="majorEastAsia" w:hAnsiTheme="majorHAnsi" w:cstheme="majorHAnsi"/>
          <w:b/>
          <w:bCs/>
          <w:sz w:val="22"/>
          <w:szCs w:val="22"/>
          <w:lang w:val="en-GB"/>
        </w:rPr>
      </w:pPr>
    </w:p>
    <w:p w14:paraId="7F130AD9" w14:textId="4ACAA400" w:rsidR="000F0B54" w:rsidRPr="000F0B54" w:rsidRDefault="000F0B54" w:rsidP="000F0B54">
      <w:pPr>
        <w:spacing w:after="0"/>
        <w:rPr>
          <w:rFonts w:asciiTheme="majorHAnsi" w:eastAsiaTheme="majorEastAsia" w:hAnsiTheme="majorHAnsi" w:cstheme="majorHAnsi"/>
          <w:b/>
          <w:bCs/>
          <w:sz w:val="22"/>
          <w:szCs w:val="22"/>
          <w:lang w:val="en-GB"/>
        </w:rPr>
      </w:pPr>
      <w:r w:rsidRPr="000F0B54">
        <w:rPr>
          <w:rFonts w:asciiTheme="majorHAnsi" w:eastAsiaTheme="majorEastAsia" w:hAnsiTheme="majorHAnsi" w:cstheme="majorHAnsi"/>
          <w:b/>
          <w:bCs/>
          <w:sz w:val="22"/>
          <w:szCs w:val="22"/>
          <w:lang w:val="en-GB"/>
        </w:rPr>
        <w:t>About the Service</w:t>
      </w:r>
    </w:p>
    <w:p w14:paraId="0CD38C92" w14:textId="2217F88F" w:rsidR="009E02C6" w:rsidRDefault="000F0B54" w:rsidP="00797BB7">
      <w:pPr>
        <w:spacing w:after="0"/>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 xml:space="preserve">Our Primary Care Network is </w:t>
      </w:r>
      <w:r w:rsidR="008E34FE">
        <w:rPr>
          <w:rFonts w:asciiTheme="majorHAnsi" w:eastAsiaTheme="majorEastAsia" w:hAnsiTheme="majorHAnsi" w:cstheme="majorHAnsi"/>
          <w:sz w:val="22"/>
          <w:szCs w:val="22"/>
          <w:lang w:val="en-GB"/>
        </w:rPr>
        <w:t>developing an</w:t>
      </w:r>
      <w:r w:rsidRPr="000F0B54">
        <w:rPr>
          <w:rFonts w:asciiTheme="majorHAnsi" w:eastAsiaTheme="majorEastAsia" w:hAnsiTheme="majorHAnsi" w:cstheme="majorHAnsi"/>
          <w:sz w:val="22"/>
          <w:szCs w:val="22"/>
          <w:lang w:val="en-GB"/>
        </w:rPr>
        <w:t xml:space="preserve"> Acute Home Visiting Service (HVS) to strengthen urgent same-day care within the community, reduce avoidable hospital admissions, and increase capacity within General Practice. Evidence shows that up to 75% of acute medical admissions come directly via ambulance or self-presentation without prior primary care triage. This service aims to change that by providing a rapid, senior clinical response in the patient’s home, enabling earlier intervention, improved patient safety, and reduced pressure on acute hospitals.</w:t>
      </w:r>
    </w:p>
    <w:p w14:paraId="065007E7" w14:textId="77777777" w:rsidR="00797BB7" w:rsidRPr="000F0B54" w:rsidRDefault="00797BB7" w:rsidP="00797BB7">
      <w:pPr>
        <w:spacing w:after="0"/>
        <w:rPr>
          <w:rFonts w:asciiTheme="majorHAnsi" w:eastAsiaTheme="majorEastAsia" w:hAnsiTheme="majorHAnsi" w:cstheme="majorHAnsi"/>
          <w:sz w:val="22"/>
          <w:szCs w:val="22"/>
          <w:lang w:val="en-GB"/>
        </w:rPr>
      </w:pPr>
    </w:p>
    <w:p w14:paraId="071D50D9" w14:textId="77777777" w:rsidR="000F0B54" w:rsidRPr="000F0B54" w:rsidRDefault="000F0B54" w:rsidP="000F0B54">
      <w:p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The service is part of a broader strategy to:</w:t>
      </w:r>
    </w:p>
    <w:p w14:paraId="0AB34371" w14:textId="77777777" w:rsidR="000F0B54" w:rsidRPr="000F0B54" w:rsidRDefault="000F0B54" w:rsidP="000F0B54">
      <w:pPr>
        <w:numPr>
          <w:ilvl w:val="0"/>
          <w:numId w:val="10"/>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Increase planned appointment capacity in GP practices</w:t>
      </w:r>
    </w:p>
    <w:p w14:paraId="1A2EF8C8" w14:textId="77777777" w:rsidR="000F0B54" w:rsidRPr="000F0B54" w:rsidRDefault="000F0B54" w:rsidP="000F0B54">
      <w:pPr>
        <w:numPr>
          <w:ilvl w:val="0"/>
          <w:numId w:val="10"/>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Reduce emergency and zero-day admissions</w:t>
      </w:r>
    </w:p>
    <w:p w14:paraId="170AC303" w14:textId="77777777" w:rsidR="000F0B54" w:rsidRPr="000F0B54" w:rsidRDefault="000F0B54" w:rsidP="000F0B54">
      <w:pPr>
        <w:numPr>
          <w:ilvl w:val="0"/>
          <w:numId w:val="10"/>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Improve system flow by enabling earlier-in-the-day clinical decisions</w:t>
      </w:r>
    </w:p>
    <w:p w14:paraId="12E7FFF7" w14:textId="77777777" w:rsidR="000F0B54" w:rsidRPr="000F0B54" w:rsidRDefault="000F0B54" w:rsidP="000F0B54">
      <w:pPr>
        <w:numPr>
          <w:ilvl w:val="0"/>
          <w:numId w:val="10"/>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lastRenderedPageBreak/>
        <w:t>Expand and diversify the primary care workforce</w:t>
      </w:r>
    </w:p>
    <w:p w14:paraId="69537135" w14:textId="77777777" w:rsidR="000F0B54" w:rsidRDefault="000F0B54" w:rsidP="000F0B54">
      <w:pPr>
        <w:numPr>
          <w:ilvl w:val="0"/>
          <w:numId w:val="10"/>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Strengthen multidisciplinary, community-based models of care</w:t>
      </w:r>
    </w:p>
    <w:p w14:paraId="02FB78C8" w14:textId="64AB55E9" w:rsidR="009E02C6" w:rsidRPr="000F0B54" w:rsidRDefault="009E02C6" w:rsidP="000F0B54">
      <w:pPr>
        <w:numPr>
          <w:ilvl w:val="0"/>
          <w:numId w:val="10"/>
        </w:numPr>
        <w:rPr>
          <w:rFonts w:asciiTheme="majorHAnsi" w:eastAsiaTheme="majorEastAsia" w:hAnsiTheme="majorHAnsi" w:cstheme="majorHAnsi"/>
          <w:sz w:val="22"/>
          <w:szCs w:val="22"/>
          <w:lang w:val="en-GB"/>
        </w:rPr>
      </w:pPr>
      <w:r>
        <w:rPr>
          <w:rFonts w:asciiTheme="majorHAnsi" w:eastAsiaTheme="majorEastAsia" w:hAnsiTheme="majorHAnsi" w:cstheme="majorHAnsi"/>
          <w:sz w:val="22"/>
          <w:szCs w:val="22"/>
          <w:lang w:val="en-GB"/>
        </w:rPr>
        <w:t xml:space="preserve">Support GP practice resilience </w:t>
      </w:r>
    </w:p>
    <w:p w14:paraId="26DB7DEC" w14:textId="17D5576F" w:rsidR="000F0B54" w:rsidRPr="000F0B54" w:rsidRDefault="000F0B54" w:rsidP="009E02C6">
      <w:pPr>
        <w:spacing w:after="0"/>
        <w:rPr>
          <w:rFonts w:asciiTheme="majorHAnsi" w:eastAsiaTheme="majorEastAsia" w:hAnsiTheme="majorHAnsi" w:cstheme="majorHAnsi"/>
          <w:sz w:val="22"/>
          <w:szCs w:val="22"/>
          <w:lang w:val="en-GB"/>
        </w:rPr>
      </w:pPr>
    </w:p>
    <w:p w14:paraId="4D7A94E2" w14:textId="77777777" w:rsidR="000F0B54" w:rsidRPr="000F0B54" w:rsidRDefault="000F0B54" w:rsidP="009E02C6">
      <w:pPr>
        <w:spacing w:after="0"/>
        <w:rPr>
          <w:rFonts w:asciiTheme="majorHAnsi" w:eastAsiaTheme="majorEastAsia" w:hAnsiTheme="majorHAnsi" w:cstheme="majorHAnsi"/>
          <w:b/>
          <w:bCs/>
          <w:sz w:val="22"/>
          <w:szCs w:val="22"/>
          <w:lang w:val="en-GB"/>
        </w:rPr>
      </w:pPr>
      <w:r w:rsidRPr="000F0B54">
        <w:rPr>
          <w:rFonts w:asciiTheme="majorHAnsi" w:eastAsiaTheme="majorEastAsia" w:hAnsiTheme="majorHAnsi" w:cstheme="majorHAnsi"/>
          <w:b/>
          <w:bCs/>
          <w:sz w:val="22"/>
          <w:szCs w:val="22"/>
          <w:lang w:val="en-GB"/>
        </w:rPr>
        <w:t>Role Summary</w:t>
      </w:r>
    </w:p>
    <w:p w14:paraId="2B9FEA85" w14:textId="30F4CA62" w:rsidR="009E02C6" w:rsidRDefault="009E02C6" w:rsidP="009E02C6">
      <w:pPr>
        <w:spacing w:after="0"/>
        <w:rPr>
          <w:rFonts w:asciiTheme="majorHAnsi" w:eastAsiaTheme="majorEastAsia" w:hAnsiTheme="majorHAnsi" w:cstheme="majorHAnsi"/>
          <w:sz w:val="22"/>
          <w:szCs w:val="22"/>
        </w:rPr>
      </w:pPr>
      <w:r w:rsidRPr="009E02C6">
        <w:rPr>
          <w:rFonts w:asciiTheme="majorHAnsi" w:eastAsiaTheme="majorEastAsia" w:hAnsiTheme="majorHAnsi" w:cstheme="majorHAnsi"/>
          <w:sz w:val="22"/>
          <w:szCs w:val="22"/>
        </w:rPr>
        <w:t>As a core clinician within the Acute Home Visiting Service, you will provide timely clinical assessment and intervention for patients who are unable to attend their GP practice and require urgent (but not life-threatening) care at home. Working across the PCN footprint, you will respond to on-the-day referrals from a central triage point and deliver face-to-face assessments, making safe and effective clinical decisions within your professional boundaries. You will work autonomously while being supported by a multidisciplinary team including GPs, paramedics, nurses and allied health professionals.</w:t>
      </w:r>
    </w:p>
    <w:p w14:paraId="65F20BF3" w14:textId="77777777" w:rsidR="009E02C6" w:rsidRPr="009E02C6" w:rsidRDefault="009E02C6" w:rsidP="009E02C6">
      <w:pPr>
        <w:spacing w:after="0"/>
        <w:rPr>
          <w:rFonts w:asciiTheme="majorHAnsi" w:eastAsiaTheme="majorEastAsia" w:hAnsiTheme="majorHAnsi" w:cstheme="majorHAnsi"/>
          <w:sz w:val="22"/>
          <w:szCs w:val="22"/>
        </w:rPr>
      </w:pPr>
    </w:p>
    <w:p w14:paraId="61AD56EA" w14:textId="77777777" w:rsidR="000F0B54" w:rsidRPr="000F0B54" w:rsidRDefault="000F0B54" w:rsidP="000F0B54">
      <w:p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Your clinical expertise will directly support:</w:t>
      </w:r>
    </w:p>
    <w:p w14:paraId="51EC2E04" w14:textId="77777777" w:rsidR="000F0B54" w:rsidRPr="000F0B54" w:rsidRDefault="000F0B54" w:rsidP="000F0B54">
      <w:pPr>
        <w:numPr>
          <w:ilvl w:val="0"/>
          <w:numId w:val="11"/>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Early assessment and management to avoid unnecessary admissions</w:t>
      </w:r>
    </w:p>
    <w:p w14:paraId="6CAE3594" w14:textId="77777777" w:rsidR="000F0B54" w:rsidRPr="000F0B54" w:rsidRDefault="000F0B54" w:rsidP="000F0B54">
      <w:pPr>
        <w:numPr>
          <w:ilvl w:val="0"/>
          <w:numId w:val="11"/>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Rapid interventions that reduce conveyance rates</w:t>
      </w:r>
    </w:p>
    <w:p w14:paraId="724A5EB5" w14:textId="77777777" w:rsidR="000F0B54" w:rsidRPr="000F0B54" w:rsidRDefault="000F0B54" w:rsidP="000F0B54">
      <w:pPr>
        <w:numPr>
          <w:ilvl w:val="0"/>
          <w:numId w:val="11"/>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Earlier-in-the-day home visits, enabling improved patient outcomes and improved system flow</w:t>
      </w:r>
    </w:p>
    <w:p w14:paraId="2A202DFB" w14:textId="77777777" w:rsidR="000F0B54" w:rsidRPr="000F0B54" w:rsidRDefault="000F0B54" w:rsidP="000F0B54">
      <w:pPr>
        <w:numPr>
          <w:ilvl w:val="0"/>
          <w:numId w:val="11"/>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Improved resilience and sustainability across member GP practices</w:t>
      </w:r>
    </w:p>
    <w:p w14:paraId="2F90C323" w14:textId="77777777" w:rsidR="000F0B54" w:rsidRPr="000F0B54" w:rsidRDefault="000F0B54" w:rsidP="000F0B54">
      <w:p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This role is additional to core GMS provision and designed to strengthen primary care capacity at scale.</w:t>
      </w:r>
    </w:p>
    <w:p w14:paraId="5F9ADE18" w14:textId="59E5C7F9" w:rsidR="000F0B54" w:rsidRPr="000F0B54" w:rsidRDefault="000F0B54" w:rsidP="000F0B54">
      <w:pPr>
        <w:rPr>
          <w:rFonts w:asciiTheme="majorHAnsi" w:eastAsiaTheme="majorEastAsia" w:hAnsiTheme="majorHAnsi" w:cstheme="majorHAnsi"/>
          <w:sz w:val="22"/>
          <w:szCs w:val="22"/>
          <w:lang w:val="en-GB"/>
        </w:rPr>
      </w:pPr>
    </w:p>
    <w:p w14:paraId="53472A64" w14:textId="77777777" w:rsidR="000F0B54" w:rsidRPr="000F0B54" w:rsidRDefault="000F0B54" w:rsidP="000F0B54">
      <w:pPr>
        <w:rPr>
          <w:rFonts w:asciiTheme="majorHAnsi" w:eastAsiaTheme="majorEastAsia" w:hAnsiTheme="majorHAnsi" w:cstheme="majorHAnsi"/>
          <w:b/>
          <w:bCs/>
          <w:sz w:val="22"/>
          <w:szCs w:val="22"/>
          <w:lang w:val="en-GB"/>
        </w:rPr>
      </w:pPr>
      <w:r w:rsidRPr="000F0B54">
        <w:rPr>
          <w:rFonts w:asciiTheme="majorHAnsi" w:eastAsiaTheme="majorEastAsia" w:hAnsiTheme="majorHAnsi" w:cstheme="majorHAnsi"/>
          <w:b/>
          <w:bCs/>
          <w:sz w:val="22"/>
          <w:szCs w:val="22"/>
          <w:lang w:val="en-GB"/>
        </w:rPr>
        <w:t>Key Responsibilities</w:t>
      </w:r>
    </w:p>
    <w:p w14:paraId="6C3218D7" w14:textId="77777777" w:rsidR="000F0B54" w:rsidRPr="000F0B54" w:rsidRDefault="000F0B54" w:rsidP="000F0B54">
      <w:pPr>
        <w:rPr>
          <w:rFonts w:asciiTheme="majorHAnsi" w:eastAsiaTheme="majorEastAsia" w:hAnsiTheme="majorHAnsi" w:cstheme="majorHAnsi"/>
          <w:b/>
          <w:bCs/>
          <w:sz w:val="22"/>
          <w:szCs w:val="22"/>
          <w:lang w:val="en-GB"/>
        </w:rPr>
      </w:pPr>
      <w:r w:rsidRPr="000F0B54">
        <w:rPr>
          <w:rFonts w:asciiTheme="majorHAnsi" w:eastAsiaTheme="majorEastAsia" w:hAnsiTheme="majorHAnsi" w:cstheme="majorHAnsi"/>
          <w:b/>
          <w:bCs/>
          <w:sz w:val="22"/>
          <w:szCs w:val="22"/>
          <w:lang w:val="en-GB"/>
        </w:rPr>
        <w:t>Clinical Duties</w:t>
      </w:r>
    </w:p>
    <w:p w14:paraId="58EFDA21" w14:textId="77777777" w:rsidR="000F0B54" w:rsidRPr="000F0B54" w:rsidRDefault="000F0B54" w:rsidP="009E02C6">
      <w:pPr>
        <w:numPr>
          <w:ilvl w:val="0"/>
          <w:numId w:val="12"/>
        </w:numPr>
        <w:spacing w:after="0"/>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Provide autonomous, senior clinical assessments for patients at home who have been triaged as requiring urgent same-day care.</w:t>
      </w:r>
    </w:p>
    <w:p w14:paraId="048FFEBB" w14:textId="77777777" w:rsidR="000F0B54" w:rsidRPr="000F0B54" w:rsidRDefault="000F0B54" w:rsidP="009E02C6">
      <w:pPr>
        <w:numPr>
          <w:ilvl w:val="0"/>
          <w:numId w:val="12"/>
        </w:numPr>
        <w:spacing w:after="0"/>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Undertake comprehensive physical and clinical assessments, formulate differential diagnoses, and deliver evidence-based treatment plans.</w:t>
      </w:r>
    </w:p>
    <w:p w14:paraId="232BFE23" w14:textId="77777777" w:rsidR="000F0B54" w:rsidRPr="000F0B54" w:rsidRDefault="000F0B54" w:rsidP="009E02C6">
      <w:pPr>
        <w:numPr>
          <w:ilvl w:val="0"/>
          <w:numId w:val="12"/>
        </w:numPr>
        <w:spacing w:after="0"/>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Facilitate early interventions to prevent avoidable admission, reduce re-attendance, and support effective management of acute episodes in the community.</w:t>
      </w:r>
    </w:p>
    <w:p w14:paraId="69C15303" w14:textId="77777777" w:rsidR="000F0B54" w:rsidRPr="000F0B54" w:rsidRDefault="000F0B54" w:rsidP="009E02C6">
      <w:pPr>
        <w:numPr>
          <w:ilvl w:val="0"/>
          <w:numId w:val="12"/>
        </w:numPr>
        <w:spacing w:after="0"/>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Escalate concerns or refer to GP/secondary care where clinically indicated.</w:t>
      </w:r>
    </w:p>
    <w:p w14:paraId="389A932D" w14:textId="77777777" w:rsidR="000F0B54" w:rsidRDefault="000F0B54" w:rsidP="009E02C6">
      <w:pPr>
        <w:numPr>
          <w:ilvl w:val="0"/>
          <w:numId w:val="12"/>
        </w:numPr>
        <w:spacing w:after="0"/>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Prescribe within scope (if qualified) and follow best practice prescribing standards.</w:t>
      </w:r>
    </w:p>
    <w:p w14:paraId="5520A793" w14:textId="77777777" w:rsidR="001B2E0C" w:rsidRPr="000F0B54" w:rsidRDefault="001B2E0C" w:rsidP="009E02C6">
      <w:pPr>
        <w:spacing w:after="0"/>
        <w:ind w:left="360"/>
        <w:rPr>
          <w:rFonts w:asciiTheme="majorHAnsi" w:eastAsiaTheme="majorEastAsia" w:hAnsiTheme="majorHAnsi" w:cstheme="majorHAnsi"/>
          <w:sz w:val="22"/>
          <w:szCs w:val="22"/>
          <w:lang w:val="en-GB"/>
        </w:rPr>
      </w:pPr>
    </w:p>
    <w:p w14:paraId="1D0CED35" w14:textId="77777777" w:rsidR="000F0B54" w:rsidRPr="000F0B54" w:rsidRDefault="000F0B54" w:rsidP="009E02C6">
      <w:pPr>
        <w:spacing w:after="0"/>
        <w:rPr>
          <w:rFonts w:asciiTheme="majorHAnsi" w:eastAsiaTheme="majorEastAsia" w:hAnsiTheme="majorHAnsi" w:cstheme="majorHAnsi"/>
          <w:b/>
          <w:bCs/>
          <w:sz w:val="22"/>
          <w:szCs w:val="22"/>
          <w:lang w:val="en-GB"/>
        </w:rPr>
      </w:pPr>
      <w:r w:rsidRPr="000F0B54">
        <w:rPr>
          <w:rFonts w:asciiTheme="majorHAnsi" w:eastAsiaTheme="majorEastAsia" w:hAnsiTheme="majorHAnsi" w:cstheme="majorHAnsi"/>
          <w:b/>
          <w:bCs/>
          <w:sz w:val="22"/>
          <w:szCs w:val="22"/>
          <w:lang w:val="en-GB"/>
        </w:rPr>
        <w:t>Operational Responsibilities</w:t>
      </w:r>
    </w:p>
    <w:p w14:paraId="13F4C527" w14:textId="4574D59E" w:rsidR="000F0B54" w:rsidRPr="000F0B54" w:rsidRDefault="000F0B54" w:rsidP="009E02C6">
      <w:pPr>
        <w:numPr>
          <w:ilvl w:val="0"/>
          <w:numId w:val="13"/>
        </w:numPr>
        <w:spacing w:after="0"/>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Respond to referrals from a PCN-wide central point of contac</w:t>
      </w:r>
      <w:r w:rsidR="001B2E0C">
        <w:rPr>
          <w:rFonts w:asciiTheme="majorHAnsi" w:eastAsiaTheme="majorEastAsia" w:hAnsiTheme="majorHAnsi" w:cstheme="majorHAnsi"/>
          <w:sz w:val="22"/>
          <w:szCs w:val="22"/>
          <w:lang w:val="en-GB"/>
        </w:rPr>
        <w:t>t.</w:t>
      </w:r>
    </w:p>
    <w:p w14:paraId="303C13CE" w14:textId="41398308" w:rsidR="000F0B54" w:rsidRPr="000F0B54" w:rsidRDefault="000F0B54" w:rsidP="000F0B54">
      <w:pPr>
        <w:numPr>
          <w:ilvl w:val="0"/>
          <w:numId w:val="13"/>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lastRenderedPageBreak/>
        <w:t>Document all consultations within the patient record, ensuring clinical information is available to the patient’s registered practice</w:t>
      </w:r>
      <w:r w:rsidR="001B2E0C">
        <w:rPr>
          <w:rFonts w:asciiTheme="majorHAnsi" w:eastAsiaTheme="majorEastAsia" w:hAnsiTheme="majorHAnsi" w:cstheme="majorHAnsi"/>
          <w:sz w:val="22"/>
          <w:szCs w:val="22"/>
          <w:lang w:val="en-GB"/>
        </w:rPr>
        <w:t>.</w:t>
      </w:r>
    </w:p>
    <w:p w14:paraId="0BD086E1" w14:textId="77777777" w:rsidR="000F0B54" w:rsidRPr="000F0B54" w:rsidRDefault="000F0B54" w:rsidP="000F0B54">
      <w:pPr>
        <w:numPr>
          <w:ilvl w:val="0"/>
          <w:numId w:val="13"/>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Work within PCN Data Sharing Agreements and follow Data Protection Act requirements.</w:t>
      </w:r>
    </w:p>
    <w:p w14:paraId="59D30C53" w14:textId="77777777" w:rsidR="000F0B54" w:rsidRPr="000F0B54" w:rsidRDefault="000F0B54" w:rsidP="000F0B54">
      <w:pPr>
        <w:numPr>
          <w:ilvl w:val="0"/>
          <w:numId w:val="13"/>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Contribute to maintaining a robust, multi-professional visiting rota from 08:00–18:30.</w:t>
      </w:r>
    </w:p>
    <w:p w14:paraId="108CBAE6" w14:textId="77777777" w:rsidR="000F0B54" w:rsidRDefault="000F0B54" w:rsidP="000F0B54">
      <w:pPr>
        <w:numPr>
          <w:ilvl w:val="0"/>
          <w:numId w:val="13"/>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Support practices to process home visit requests earlier in the day to maximise system benefit.</w:t>
      </w:r>
    </w:p>
    <w:p w14:paraId="1FEBB671" w14:textId="77777777" w:rsidR="001B2E0C" w:rsidRPr="000F0B54" w:rsidRDefault="001B2E0C" w:rsidP="001B2E0C">
      <w:pPr>
        <w:ind w:left="720"/>
        <w:rPr>
          <w:rFonts w:asciiTheme="majorHAnsi" w:eastAsiaTheme="majorEastAsia" w:hAnsiTheme="majorHAnsi" w:cstheme="majorHAnsi"/>
          <w:sz w:val="22"/>
          <w:szCs w:val="22"/>
          <w:lang w:val="en-GB"/>
        </w:rPr>
      </w:pPr>
    </w:p>
    <w:p w14:paraId="01EACEDE" w14:textId="77777777" w:rsidR="000F0B54" w:rsidRPr="000F0B54" w:rsidRDefault="000F0B54" w:rsidP="000F0B54">
      <w:pPr>
        <w:rPr>
          <w:rFonts w:asciiTheme="majorHAnsi" w:eastAsiaTheme="majorEastAsia" w:hAnsiTheme="majorHAnsi" w:cstheme="majorHAnsi"/>
          <w:b/>
          <w:bCs/>
          <w:sz w:val="22"/>
          <w:szCs w:val="22"/>
          <w:lang w:val="en-GB"/>
        </w:rPr>
      </w:pPr>
      <w:r w:rsidRPr="000F0B54">
        <w:rPr>
          <w:rFonts w:asciiTheme="majorHAnsi" w:eastAsiaTheme="majorEastAsia" w:hAnsiTheme="majorHAnsi" w:cstheme="majorHAnsi"/>
          <w:b/>
          <w:bCs/>
          <w:sz w:val="22"/>
          <w:szCs w:val="22"/>
          <w:lang w:val="en-GB"/>
        </w:rPr>
        <w:t>Service Improvement &amp; Collaboration</w:t>
      </w:r>
    </w:p>
    <w:p w14:paraId="280ECECD" w14:textId="27CB55F5" w:rsidR="000F0B54" w:rsidRPr="000F0B54" w:rsidRDefault="000F0B54" w:rsidP="000F0B54">
      <w:pPr>
        <w:numPr>
          <w:ilvl w:val="0"/>
          <w:numId w:val="14"/>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 xml:space="preserve">Work collaboratively with GPs, pharmacists, HCAs, district nurses, </w:t>
      </w:r>
      <w:r w:rsidR="001B2E0C">
        <w:rPr>
          <w:rFonts w:asciiTheme="majorHAnsi" w:eastAsiaTheme="majorEastAsia" w:hAnsiTheme="majorHAnsi" w:cstheme="majorHAnsi"/>
          <w:sz w:val="22"/>
          <w:szCs w:val="22"/>
          <w:lang w:val="en-GB"/>
        </w:rPr>
        <w:t xml:space="preserve">and </w:t>
      </w:r>
      <w:r w:rsidRPr="000F0B54">
        <w:rPr>
          <w:rFonts w:asciiTheme="majorHAnsi" w:eastAsiaTheme="majorEastAsia" w:hAnsiTheme="majorHAnsi" w:cstheme="majorHAnsi"/>
          <w:sz w:val="22"/>
          <w:szCs w:val="22"/>
          <w:lang w:val="en-GB"/>
        </w:rPr>
        <w:t>community team</w:t>
      </w:r>
      <w:r w:rsidR="001B2E0C">
        <w:rPr>
          <w:rFonts w:asciiTheme="majorHAnsi" w:eastAsiaTheme="majorEastAsia" w:hAnsiTheme="majorHAnsi" w:cstheme="majorHAnsi"/>
          <w:sz w:val="22"/>
          <w:szCs w:val="22"/>
          <w:lang w:val="en-GB"/>
        </w:rPr>
        <w:t>s</w:t>
      </w:r>
      <w:r w:rsidRPr="000F0B54">
        <w:rPr>
          <w:rFonts w:asciiTheme="majorHAnsi" w:eastAsiaTheme="majorEastAsia" w:hAnsiTheme="majorHAnsi" w:cstheme="majorHAnsi"/>
          <w:sz w:val="22"/>
          <w:szCs w:val="22"/>
          <w:lang w:val="en-GB"/>
        </w:rPr>
        <w:t>.</w:t>
      </w:r>
    </w:p>
    <w:p w14:paraId="5B205222" w14:textId="77777777" w:rsidR="000F0B54" w:rsidRPr="000F0B54" w:rsidRDefault="000F0B54" w:rsidP="000F0B54">
      <w:pPr>
        <w:numPr>
          <w:ilvl w:val="0"/>
          <w:numId w:val="14"/>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Promote integrated neighbourhood working and multidisciplinary care models.</w:t>
      </w:r>
    </w:p>
    <w:p w14:paraId="01FBD406" w14:textId="77777777" w:rsidR="000F0B54" w:rsidRPr="000F0B54" w:rsidRDefault="000F0B54" w:rsidP="000F0B54">
      <w:pPr>
        <w:numPr>
          <w:ilvl w:val="0"/>
          <w:numId w:val="14"/>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Participate in PCN reporting requirements including visit volumes, outcomes, admission prevention data, patient experience (FFT), and quarterly workforce/activity reporting.</w:t>
      </w:r>
    </w:p>
    <w:p w14:paraId="35018C59" w14:textId="77777777" w:rsidR="000F0B54" w:rsidRPr="000F0B54" w:rsidRDefault="000F0B54" w:rsidP="000F0B54">
      <w:pPr>
        <w:numPr>
          <w:ilvl w:val="0"/>
          <w:numId w:val="14"/>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Contribute to service promotion across practices, NHS 111, urgent care services and community partners.</w:t>
      </w:r>
    </w:p>
    <w:p w14:paraId="17720595" w14:textId="77777777" w:rsidR="000F0B54" w:rsidRDefault="000F0B54" w:rsidP="000F0B54">
      <w:pPr>
        <w:numPr>
          <w:ilvl w:val="0"/>
          <w:numId w:val="14"/>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Support evaluation and quality improvement initiatives to inform future investment.</w:t>
      </w:r>
    </w:p>
    <w:p w14:paraId="1F0C3C1C" w14:textId="77777777" w:rsidR="001B2E0C" w:rsidRPr="000F0B54" w:rsidRDefault="001B2E0C" w:rsidP="009E02C6">
      <w:pPr>
        <w:spacing w:after="0"/>
        <w:ind w:left="720"/>
        <w:rPr>
          <w:rFonts w:asciiTheme="majorHAnsi" w:eastAsiaTheme="majorEastAsia" w:hAnsiTheme="majorHAnsi" w:cstheme="majorHAnsi"/>
          <w:sz w:val="22"/>
          <w:szCs w:val="22"/>
          <w:lang w:val="en-GB"/>
        </w:rPr>
      </w:pPr>
    </w:p>
    <w:p w14:paraId="0C4CE80B" w14:textId="77777777" w:rsidR="000F0B54" w:rsidRPr="000F0B54" w:rsidRDefault="000F0B54" w:rsidP="000F0B54">
      <w:pPr>
        <w:rPr>
          <w:rFonts w:asciiTheme="majorHAnsi" w:eastAsiaTheme="majorEastAsia" w:hAnsiTheme="majorHAnsi" w:cstheme="majorHAnsi"/>
          <w:b/>
          <w:bCs/>
          <w:sz w:val="22"/>
          <w:szCs w:val="22"/>
          <w:lang w:val="en-GB"/>
        </w:rPr>
      </w:pPr>
      <w:r w:rsidRPr="000F0B54">
        <w:rPr>
          <w:rFonts w:asciiTheme="majorHAnsi" w:eastAsiaTheme="majorEastAsia" w:hAnsiTheme="majorHAnsi" w:cstheme="majorHAnsi"/>
          <w:b/>
          <w:bCs/>
          <w:sz w:val="22"/>
          <w:szCs w:val="22"/>
          <w:lang w:val="en-GB"/>
        </w:rPr>
        <w:t>Governance &amp; Professional Standards</w:t>
      </w:r>
    </w:p>
    <w:p w14:paraId="7D6EA956" w14:textId="77777777" w:rsidR="000F0B54" w:rsidRPr="000F0B54" w:rsidRDefault="000F0B54" w:rsidP="000F0B54">
      <w:pPr>
        <w:numPr>
          <w:ilvl w:val="0"/>
          <w:numId w:val="15"/>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Adhere to PCN clinical governance processes, business continuity plans, and safety protocols.</w:t>
      </w:r>
    </w:p>
    <w:p w14:paraId="1963430D" w14:textId="77777777" w:rsidR="000F0B54" w:rsidRPr="000F0B54" w:rsidRDefault="000F0B54" w:rsidP="000F0B54">
      <w:pPr>
        <w:numPr>
          <w:ilvl w:val="0"/>
          <w:numId w:val="15"/>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Ensure safe lone working practices.</w:t>
      </w:r>
    </w:p>
    <w:p w14:paraId="1010187A" w14:textId="77777777" w:rsidR="000F0B54" w:rsidRPr="000F0B54" w:rsidRDefault="000F0B54" w:rsidP="000F0B54">
      <w:pPr>
        <w:numPr>
          <w:ilvl w:val="0"/>
          <w:numId w:val="15"/>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Maintain up-to-date clinical competencies, CPD, and professional registration.</w:t>
      </w:r>
    </w:p>
    <w:p w14:paraId="5487B020" w14:textId="30C2E2FF" w:rsidR="000F0B54" w:rsidRPr="000F0B54" w:rsidRDefault="000F0B54" w:rsidP="000F0B54">
      <w:pPr>
        <w:rPr>
          <w:rFonts w:asciiTheme="majorHAnsi" w:eastAsiaTheme="majorEastAsia" w:hAnsiTheme="majorHAnsi" w:cstheme="majorHAnsi"/>
          <w:sz w:val="22"/>
          <w:szCs w:val="22"/>
          <w:lang w:val="en-GB"/>
        </w:rPr>
      </w:pPr>
    </w:p>
    <w:p w14:paraId="302CCBA7" w14:textId="77777777" w:rsidR="001B2E0C" w:rsidRDefault="001B2E0C" w:rsidP="000F0B54">
      <w:pPr>
        <w:rPr>
          <w:rFonts w:asciiTheme="majorHAnsi" w:eastAsiaTheme="majorEastAsia" w:hAnsiTheme="majorHAnsi" w:cstheme="majorHAnsi"/>
          <w:b/>
          <w:bCs/>
          <w:sz w:val="22"/>
          <w:szCs w:val="22"/>
          <w:lang w:val="en-GB"/>
        </w:rPr>
      </w:pPr>
    </w:p>
    <w:p w14:paraId="6EB1CC7A" w14:textId="77777777" w:rsidR="001B2E0C" w:rsidRDefault="001B2E0C" w:rsidP="000F0B54">
      <w:pPr>
        <w:rPr>
          <w:rFonts w:asciiTheme="majorHAnsi" w:eastAsiaTheme="majorEastAsia" w:hAnsiTheme="majorHAnsi" w:cstheme="majorHAnsi"/>
          <w:b/>
          <w:bCs/>
          <w:sz w:val="22"/>
          <w:szCs w:val="22"/>
          <w:lang w:val="en-GB"/>
        </w:rPr>
      </w:pPr>
    </w:p>
    <w:p w14:paraId="79D3AC53" w14:textId="77777777" w:rsidR="001B2E0C" w:rsidRDefault="001B2E0C" w:rsidP="000F0B54">
      <w:pPr>
        <w:rPr>
          <w:rFonts w:asciiTheme="majorHAnsi" w:eastAsiaTheme="majorEastAsia" w:hAnsiTheme="majorHAnsi" w:cstheme="majorHAnsi"/>
          <w:b/>
          <w:bCs/>
          <w:sz w:val="22"/>
          <w:szCs w:val="22"/>
          <w:lang w:val="en-GB"/>
        </w:rPr>
      </w:pPr>
    </w:p>
    <w:p w14:paraId="7AB0562E" w14:textId="77777777" w:rsidR="001B2E0C" w:rsidRDefault="001B2E0C" w:rsidP="000F0B54">
      <w:pPr>
        <w:rPr>
          <w:rFonts w:asciiTheme="majorHAnsi" w:eastAsiaTheme="majorEastAsia" w:hAnsiTheme="majorHAnsi" w:cstheme="majorHAnsi"/>
          <w:b/>
          <w:bCs/>
          <w:sz w:val="22"/>
          <w:szCs w:val="22"/>
          <w:lang w:val="en-GB"/>
        </w:rPr>
      </w:pPr>
    </w:p>
    <w:p w14:paraId="11CBED00" w14:textId="77777777" w:rsidR="001B2E0C" w:rsidRDefault="001B2E0C" w:rsidP="000F0B54">
      <w:pPr>
        <w:rPr>
          <w:rFonts w:asciiTheme="majorHAnsi" w:eastAsiaTheme="majorEastAsia" w:hAnsiTheme="majorHAnsi" w:cstheme="majorHAnsi"/>
          <w:b/>
          <w:bCs/>
          <w:sz w:val="22"/>
          <w:szCs w:val="22"/>
          <w:lang w:val="en-GB"/>
        </w:rPr>
      </w:pPr>
    </w:p>
    <w:p w14:paraId="4265F776" w14:textId="77777777" w:rsidR="009E02C6" w:rsidRDefault="009E02C6" w:rsidP="000F0B54">
      <w:pPr>
        <w:rPr>
          <w:rFonts w:asciiTheme="majorHAnsi" w:eastAsiaTheme="majorEastAsia" w:hAnsiTheme="majorHAnsi" w:cstheme="majorHAnsi"/>
          <w:b/>
          <w:bCs/>
          <w:sz w:val="22"/>
          <w:szCs w:val="22"/>
          <w:lang w:val="en-GB"/>
        </w:rPr>
      </w:pPr>
    </w:p>
    <w:p w14:paraId="3001869E" w14:textId="77777777" w:rsidR="009E02C6" w:rsidRDefault="009E02C6" w:rsidP="000F0B54">
      <w:pPr>
        <w:rPr>
          <w:rFonts w:asciiTheme="majorHAnsi" w:eastAsiaTheme="majorEastAsia" w:hAnsiTheme="majorHAnsi" w:cstheme="majorHAnsi"/>
          <w:b/>
          <w:bCs/>
          <w:sz w:val="22"/>
          <w:szCs w:val="22"/>
          <w:lang w:val="en-GB"/>
        </w:rPr>
      </w:pPr>
    </w:p>
    <w:p w14:paraId="2A1F649C" w14:textId="77777777" w:rsidR="001B2E0C" w:rsidRDefault="001B2E0C" w:rsidP="000F0B54">
      <w:pPr>
        <w:rPr>
          <w:rFonts w:asciiTheme="majorHAnsi" w:eastAsiaTheme="majorEastAsia" w:hAnsiTheme="majorHAnsi" w:cstheme="majorHAnsi"/>
          <w:b/>
          <w:bCs/>
          <w:sz w:val="22"/>
          <w:szCs w:val="22"/>
          <w:lang w:val="en-GB"/>
        </w:rPr>
      </w:pPr>
    </w:p>
    <w:p w14:paraId="2E5A2312" w14:textId="77777777" w:rsidR="001B2E0C" w:rsidRPr="001B2E0C" w:rsidRDefault="001B2E0C" w:rsidP="000F0B54">
      <w:pPr>
        <w:rPr>
          <w:rFonts w:asciiTheme="majorHAnsi" w:eastAsiaTheme="majorEastAsia" w:hAnsiTheme="majorHAnsi" w:cstheme="majorHAnsi"/>
          <w:b/>
          <w:bCs/>
          <w:lang w:val="en-GB"/>
        </w:rPr>
      </w:pPr>
    </w:p>
    <w:p w14:paraId="747C911E" w14:textId="11636D05" w:rsidR="000F0B54" w:rsidRPr="000F0B54" w:rsidRDefault="000F0B54" w:rsidP="000F0B54">
      <w:pPr>
        <w:rPr>
          <w:rFonts w:asciiTheme="majorHAnsi" w:eastAsiaTheme="majorEastAsia" w:hAnsiTheme="majorHAnsi" w:cstheme="majorHAnsi"/>
          <w:b/>
          <w:bCs/>
          <w:sz w:val="24"/>
          <w:szCs w:val="24"/>
          <w:lang w:val="en-GB"/>
        </w:rPr>
      </w:pPr>
      <w:r w:rsidRPr="000F0B54">
        <w:rPr>
          <w:rFonts w:asciiTheme="majorHAnsi" w:eastAsiaTheme="majorEastAsia" w:hAnsiTheme="majorHAnsi" w:cstheme="majorHAnsi"/>
          <w:b/>
          <w:bCs/>
          <w:sz w:val="24"/>
          <w:szCs w:val="24"/>
          <w:lang w:val="en-GB"/>
        </w:rPr>
        <w:t>Person Specification</w:t>
      </w:r>
    </w:p>
    <w:p w14:paraId="69D80F67" w14:textId="77777777" w:rsidR="000F0B54" w:rsidRPr="000F0B54" w:rsidRDefault="000F0B54" w:rsidP="000F0B54">
      <w:pPr>
        <w:rPr>
          <w:rFonts w:asciiTheme="majorHAnsi" w:eastAsiaTheme="majorEastAsia" w:hAnsiTheme="majorHAnsi" w:cstheme="majorHAnsi"/>
          <w:b/>
          <w:bCs/>
          <w:sz w:val="22"/>
          <w:szCs w:val="22"/>
          <w:lang w:val="en-GB"/>
        </w:rPr>
      </w:pPr>
      <w:r w:rsidRPr="000F0B54">
        <w:rPr>
          <w:rFonts w:asciiTheme="majorHAnsi" w:eastAsiaTheme="majorEastAsia" w:hAnsiTheme="majorHAnsi" w:cstheme="majorHAnsi"/>
          <w:b/>
          <w:bCs/>
          <w:sz w:val="22"/>
          <w:szCs w:val="22"/>
          <w:lang w:val="en-GB"/>
        </w:rPr>
        <w:t>Essential</w:t>
      </w:r>
    </w:p>
    <w:p w14:paraId="20D3C4A7" w14:textId="77777777" w:rsidR="000F0B54" w:rsidRPr="000F0B54" w:rsidRDefault="000F0B54" w:rsidP="000F0B54">
      <w:pPr>
        <w:numPr>
          <w:ilvl w:val="0"/>
          <w:numId w:val="16"/>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Registered Nurse (RGN) or Paramedic with current NMC/HCPC registration.</w:t>
      </w:r>
    </w:p>
    <w:p w14:paraId="772BF329" w14:textId="77777777" w:rsidR="000F0B54" w:rsidRPr="000F0B54" w:rsidRDefault="000F0B54" w:rsidP="000F0B54">
      <w:pPr>
        <w:numPr>
          <w:ilvl w:val="0"/>
          <w:numId w:val="16"/>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Minimum Band 7 experience or equivalent senior clinician background.</w:t>
      </w:r>
    </w:p>
    <w:p w14:paraId="6C1C6A72" w14:textId="77777777" w:rsidR="000F0B54" w:rsidRPr="000F0B54" w:rsidRDefault="000F0B54" w:rsidP="000F0B54">
      <w:pPr>
        <w:numPr>
          <w:ilvl w:val="0"/>
          <w:numId w:val="16"/>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Advanced assessment skills, including independent clinical decision-making.</w:t>
      </w:r>
    </w:p>
    <w:p w14:paraId="192C8FAD" w14:textId="77777777" w:rsidR="000F0B54" w:rsidRPr="000F0B54" w:rsidRDefault="000F0B54" w:rsidP="000F0B54">
      <w:pPr>
        <w:numPr>
          <w:ilvl w:val="0"/>
          <w:numId w:val="16"/>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Experience delivering urgent or acute care in a community, primary care, or emergency setting.</w:t>
      </w:r>
    </w:p>
    <w:p w14:paraId="5D90A7DA" w14:textId="77777777" w:rsidR="000F0B54" w:rsidRPr="000F0B54" w:rsidRDefault="000F0B54" w:rsidP="000F0B54">
      <w:pPr>
        <w:numPr>
          <w:ilvl w:val="0"/>
          <w:numId w:val="16"/>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Ability to work autonomously and confidently in patients’ homes.</w:t>
      </w:r>
    </w:p>
    <w:p w14:paraId="11844564" w14:textId="77777777" w:rsidR="000F0B54" w:rsidRPr="000F0B54" w:rsidRDefault="000F0B54" w:rsidP="000F0B54">
      <w:pPr>
        <w:numPr>
          <w:ilvl w:val="0"/>
          <w:numId w:val="16"/>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Strong communication skills and ability to work across multiple practices.</w:t>
      </w:r>
    </w:p>
    <w:p w14:paraId="1A66D616" w14:textId="77777777" w:rsidR="000F0B54" w:rsidRPr="000F0B54" w:rsidRDefault="000F0B54" w:rsidP="000F0B54">
      <w:pPr>
        <w:numPr>
          <w:ilvl w:val="0"/>
          <w:numId w:val="16"/>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Competent IT skills and experience using clinical record systems.</w:t>
      </w:r>
    </w:p>
    <w:p w14:paraId="762FCBC7" w14:textId="77777777" w:rsidR="000F0B54" w:rsidRDefault="000F0B54" w:rsidP="000F0B54">
      <w:pPr>
        <w:numPr>
          <w:ilvl w:val="0"/>
          <w:numId w:val="16"/>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Full UK driving licence and access to a vehicle suitable for business use.</w:t>
      </w:r>
    </w:p>
    <w:p w14:paraId="4C2E5186" w14:textId="77777777" w:rsidR="001B2E0C" w:rsidRPr="000F0B54" w:rsidRDefault="001B2E0C" w:rsidP="001B2E0C">
      <w:pPr>
        <w:ind w:left="720"/>
        <w:rPr>
          <w:rFonts w:asciiTheme="majorHAnsi" w:eastAsiaTheme="majorEastAsia" w:hAnsiTheme="majorHAnsi" w:cstheme="majorHAnsi"/>
          <w:sz w:val="22"/>
          <w:szCs w:val="22"/>
          <w:lang w:val="en-GB"/>
        </w:rPr>
      </w:pPr>
    </w:p>
    <w:p w14:paraId="22A97D91" w14:textId="77777777" w:rsidR="000F0B54" w:rsidRPr="000F0B54" w:rsidRDefault="000F0B54" w:rsidP="000F0B54">
      <w:pPr>
        <w:rPr>
          <w:rFonts w:asciiTheme="majorHAnsi" w:eastAsiaTheme="majorEastAsia" w:hAnsiTheme="majorHAnsi" w:cstheme="majorHAnsi"/>
          <w:b/>
          <w:bCs/>
          <w:sz w:val="22"/>
          <w:szCs w:val="22"/>
          <w:lang w:val="en-GB"/>
        </w:rPr>
      </w:pPr>
      <w:r w:rsidRPr="000F0B54">
        <w:rPr>
          <w:rFonts w:asciiTheme="majorHAnsi" w:eastAsiaTheme="majorEastAsia" w:hAnsiTheme="majorHAnsi" w:cstheme="majorHAnsi"/>
          <w:b/>
          <w:bCs/>
          <w:sz w:val="22"/>
          <w:szCs w:val="22"/>
          <w:lang w:val="en-GB"/>
        </w:rPr>
        <w:t>Desirable</w:t>
      </w:r>
    </w:p>
    <w:p w14:paraId="5B42E948" w14:textId="77777777" w:rsidR="000F0B54" w:rsidRPr="000F0B54" w:rsidRDefault="000F0B54" w:rsidP="000F0B54">
      <w:pPr>
        <w:numPr>
          <w:ilvl w:val="0"/>
          <w:numId w:val="17"/>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Non-Medical Prescribing (V300).</w:t>
      </w:r>
    </w:p>
    <w:p w14:paraId="30FC658B" w14:textId="77777777" w:rsidR="000F0B54" w:rsidRPr="000F0B54" w:rsidRDefault="000F0B54" w:rsidP="000F0B54">
      <w:pPr>
        <w:numPr>
          <w:ilvl w:val="0"/>
          <w:numId w:val="17"/>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Experience working within a Primary Care Network or multidisciplinary community team.</w:t>
      </w:r>
    </w:p>
    <w:p w14:paraId="5DD05F09" w14:textId="77777777" w:rsidR="000F0B54" w:rsidRPr="000F0B54" w:rsidRDefault="000F0B54" w:rsidP="000F0B54">
      <w:pPr>
        <w:numPr>
          <w:ilvl w:val="0"/>
          <w:numId w:val="17"/>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Knowledge of admission avoidance pathways and community acute care models.</w:t>
      </w:r>
    </w:p>
    <w:p w14:paraId="1DDAB86F" w14:textId="27FA4EB5" w:rsidR="000F0B54" w:rsidRDefault="000F0B54" w:rsidP="000F0B54">
      <w:pPr>
        <w:rPr>
          <w:rFonts w:asciiTheme="majorHAnsi" w:eastAsiaTheme="majorEastAsia" w:hAnsiTheme="majorHAnsi" w:cstheme="majorHAnsi"/>
          <w:sz w:val="22"/>
          <w:szCs w:val="22"/>
          <w:lang w:val="en-GB"/>
        </w:rPr>
      </w:pPr>
    </w:p>
    <w:p w14:paraId="6AE23DD5" w14:textId="77777777" w:rsidR="000F0B54" w:rsidRPr="000F0B54" w:rsidRDefault="000F0B54" w:rsidP="000F0B54">
      <w:pPr>
        <w:rPr>
          <w:rFonts w:asciiTheme="majorHAnsi" w:eastAsiaTheme="majorEastAsia" w:hAnsiTheme="majorHAnsi" w:cstheme="majorHAnsi"/>
          <w:b/>
          <w:bCs/>
          <w:sz w:val="22"/>
          <w:szCs w:val="22"/>
          <w:lang w:val="en-GB"/>
        </w:rPr>
      </w:pPr>
      <w:r w:rsidRPr="000F0B54">
        <w:rPr>
          <w:rFonts w:asciiTheme="majorHAnsi" w:eastAsiaTheme="majorEastAsia" w:hAnsiTheme="majorHAnsi" w:cstheme="majorHAnsi"/>
          <w:b/>
          <w:bCs/>
          <w:sz w:val="22"/>
          <w:szCs w:val="22"/>
          <w:lang w:val="en-GB"/>
        </w:rPr>
        <w:t>Why Join Us?</w:t>
      </w:r>
    </w:p>
    <w:p w14:paraId="046B0779" w14:textId="77777777" w:rsidR="000F0B54" w:rsidRPr="000F0B54" w:rsidRDefault="000F0B54" w:rsidP="000F0B54">
      <w:pPr>
        <w:numPr>
          <w:ilvl w:val="0"/>
          <w:numId w:val="18"/>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Be part of an innovative, system-shaping service improving urgent community care.</w:t>
      </w:r>
    </w:p>
    <w:p w14:paraId="190A606F" w14:textId="77777777" w:rsidR="000F0B54" w:rsidRPr="000F0B54" w:rsidRDefault="000F0B54" w:rsidP="000F0B54">
      <w:pPr>
        <w:numPr>
          <w:ilvl w:val="0"/>
          <w:numId w:val="18"/>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Work alongside a supportive, forward-thinking PCN team.</w:t>
      </w:r>
    </w:p>
    <w:p w14:paraId="3E2253FF" w14:textId="77777777" w:rsidR="000F0B54" w:rsidRPr="000F0B54" w:rsidRDefault="000F0B54" w:rsidP="000F0B54">
      <w:pPr>
        <w:numPr>
          <w:ilvl w:val="0"/>
          <w:numId w:val="18"/>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Opportunity to influence service development and integrated models of care.</w:t>
      </w:r>
    </w:p>
    <w:p w14:paraId="45FD3707" w14:textId="266BD28D" w:rsidR="000F0B54" w:rsidRPr="000F0B54" w:rsidRDefault="000F0B54" w:rsidP="000F0B54">
      <w:pPr>
        <w:numPr>
          <w:ilvl w:val="0"/>
          <w:numId w:val="18"/>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NHS pension, and CPD support.</w:t>
      </w:r>
    </w:p>
    <w:p w14:paraId="1E34D5C5" w14:textId="77777777" w:rsidR="000F0B54" w:rsidRPr="000F0B54" w:rsidRDefault="000F0B54" w:rsidP="000F0B54">
      <w:pPr>
        <w:numPr>
          <w:ilvl w:val="0"/>
          <w:numId w:val="18"/>
        </w:numPr>
        <w:rPr>
          <w:rFonts w:asciiTheme="majorHAnsi" w:eastAsiaTheme="majorEastAsia" w:hAnsiTheme="majorHAnsi" w:cstheme="majorHAnsi"/>
          <w:sz w:val="22"/>
          <w:szCs w:val="22"/>
          <w:lang w:val="en-GB"/>
        </w:rPr>
      </w:pPr>
      <w:r w:rsidRPr="000F0B54">
        <w:rPr>
          <w:rFonts w:asciiTheme="majorHAnsi" w:eastAsiaTheme="majorEastAsia" w:hAnsiTheme="majorHAnsi" w:cstheme="majorHAnsi"/>
          <w:sz w:val="22"/>
          <w:szCs w:val="22"/>
          <w:lang w:val="en-GB"/>
        </w:rPr>
        <w:t>Flexible PCN-wide role with professional autonomy and meaningful patient impact.</w:t>
      </w:r>
    </w:p>
    <w:p w14:paraId="00FCF77E" w14:textId="77777777" w:rsidR="000563B9" w:rsidRDefault="000563B9" w:rsidP="000F0B54"/>
    <w:p w14:paraId="6EEEE6F2" w14:textId="77777777" w:rsidR="009E02C6" w:rsidRDefault="009E02C6" w:rsidP="000F0B54"/>
    <w:p w14:paraId="5EB4C320" w14:textId="77777777" w:rsidR="009E02C6" w:rsidRDefault="009E02C6" w:rsidP="000F0B54"/>
    <w:p w14:paraId="3A7D1815" w14:textId="77777777" w:rsidR="009E02C6" w:rsidRPr="009E02C6" w:rsidRDefault="009E02C6" w:rsidP="009E02C6">
      <w:pPr>
        <w:rPr>
          <w:rFonts w:asciiTheme="majorHAnsi" w:hAnsiTheme="majorHAnsi" w:cstheme="majorHAnsi"/>
          <w:b/>
          <w:bCs/>
          <w:sz w:val="22"/>
          <w:szCs w:val="22"/>
          <w:lang w:val="en-GB"/>
        </w:rPr>
      </w:pPr>
      <w:r w:rsidRPr="009E02C6">
        <w:rPr>
          <w:rFonts w:asciiTheme="majorHAnsi" w:hAnsiTheme="majorHAnsi" w:cstheme="majorHAnsi"/>
          <w:b/>
          <w:bCs/>
          <w:sz w:val="22"/>
          <w:szCs w:val="22"/>
          <w:lang w:val="en-GB"/>
        </w:rPr>
        <w:lastRenderedPageBreak/>
        <w:t>Disclosure and Barring Service Check</w:t>
      </w:r>
    </w:p>
    <w:p w14:paraId="6C11AC9A" w14:textId="77777777" w:rsidR="009E02C6" w:rsidRPr="009E02C6" w:rsidRDefault="009E02C6" w:rsidP="009E02C6">
      <w:pPr>
        <w:rPr>
          <w:rFonts w:asciiTheme="majorHAnsi" w:hAnsiTheme="majorHAnsi" w:cstheme="majorHAnsi"/>
          <w:sz w:val="22"/>
          <w:szCs w:val="22"/>
          <w:lang w:val="en-GB"/>
        </w:rPr>
      </w:pPr>
      <w:r w:rsidRPr="009E02C6">
        <w:rPr>
          <w:rFonts w:asciiTheme="majorHAnsi" w:hAnsiTheme="majorHAnsi" w:cstheme="majorHAnsi"/>
          <w:sz w:val="22"/>
          <w:szCs w:val="22"/>
          <w:lang w:val="en-GB"/>
        </w:rPr>
        <w:t>This post is subject to the Rehabilitation of Offenders Act (Exceptions Order) 1975 and as such it will be necessary for a submission for Disclosure to be made to the Disclosure and Barring Service (formerly known as CRB) to check for any previous criminal convictions.</w:t>
      </w:r>
    </w:p>
    <w:p w14:paraId="04B72DAF" w14:textId="486E40B6" w:rsidR="001B2E0C" w:rsidRDefault="001B2E0C"/>
    <w:p w14:paraId="1EF39229" w14:textId="77777777" w:rsidR="001B2E0C" w:rsidRPr="0048477C" w:rsidRDefault="001B2E0C" w:rsidP="001B2E0C">
      <w:pPr>
        <w:rPr>
          <w:rFonts w:asciiTheme="majorHAnsi" w:hAnsiTheme="majorHAnsi" w:cstheme="majorHAnsi"/>
          <w:sz w:val="22"/>
          <w:szCs w:val="22"/>
        </w:rPr>
      </w:pPr>
      <w:r w:rsidRPr="0048477C">
        <w:rPr>
          <w:rFonts w:asciiTheme="majorHAnsi" w:hAnsiTheme="majorHAnsi" w:cstheme="majorHAnsi"/>
          <w:sz w:val="22"/>
          <w:szCs w:val="22"/>
        </w:rPr>
        <w:t>The following table outlines the essential and desirable criteria for the role:</w:t>
      </w:r>
    </w:p>
    <w:p w14:paraId="43D66219" w14:textId="77777777" w:rsidR="001B2E0C" w:rsidRDefault="001B2E0C" w:rsidP="000F0B54"/>
    <w:tbl>
      <w:tblPr>
        <w:tblStyle w:val="TableGrid"/>
        <w:tblW w:w="0" w:type="auto"/>
        <w:tblLook w:val="04A0" w:firstRow="1" w:lastRow="0" w:firstColumn="1" w:lastColumn="0" w:noHBand="0" w:noVBand="1"/>
      </w:tblPr>
      <w:tblGrid>
        <w:gridCol w:w="2870"/>
        <w:gridCol w:w="2880"/>
        <w:gridCol w:w="2880"/>
      </w:tblGrid>
      <w:tr w:rsidR="0048477C" w:rsidRPr="0048477C" w14:paraId="4FD67B49" w14:textId="77777777" w:rsidTr="0048477C">
        <w:tc>
          <w:tcPr>
            <w:tcW w:w="2952" w:type="dxa"/>
          </w:tcPr>
          <w:p w14:paraId="53B69947" w14:textId="1441ED3C" w:rsidR="0048477C" w:rsidRPr="0048477C" w:rsidRDefault="0048477C" w:rsidP="000F0B54">
            <w:pPr>
              <w:rPr>
                <w:rFonts w:asciiTheme="majorHAnsi" w:hAnsiTheme="majorHAnsi" w:cstheme="majorHAnsi"/>
                <w:sz w:val="24"/>
                <w:szCs w:val="24"/>
              </w:rPr>
            </w:pPr>
            <w:r w:rsidRPr="0048477C">
              <w:rPr>
                <w:rFonts w:asciiTheme="majorHAnsi" w:hAnsiTheme="majorHAnsi" w:cstheme="majorHAnsi"/>
                <w:sz w:val="24"/>
                <w:szCs w:val="24"/>
              </w:rPr>
              <w:t>Criteria</w:t>
            </w:r>
          </w:p>
        </w:tc>
        <w:tc>
          <w:tcPr>
            <w:tcW w:w="2952" w:type="dxa"/>
          </w:tcPr>
          <w:p w14:paraId="1F230DB0" w14:textId="6E7D3DDA" w:rsidR="0048477C" w:rsidRPr="0048477C" w:rsidRDefault="0048477C" w:rsidP="000F0B54">
            <w:pPr>
              <w:rPr>
                <w:rFonts w:asciiTheme="majorHAnsi" w:hAnsiTheme="majorHAnsi" w:cstheme="majorHAnsi"/>
                <w:sz w:val="24"/>
                <w:szCs w:val="24"/>
              </w:rPr>
            </w:pPr>
            <w:r w:rsidRPr="0048477C">
              <w:rPr>
                <w:rFonts w:asciiTheme="majorHAnsi" w:hAnsiTheme="majorHAnsi" w:cstheme="majorHAnsi"/>
                <w:sz w:val="24"/>
                <w:szCs w:val="24"/>
              </w:rPr>
              <w:t>Essential</w:t>
            </w:r>
          </w:p>
        </w:tc>
        <w:tc>
          <w:tcPr>
            <w:tcW w:w="2952" w:type="dxa"/>
          </w:tcPr>
          <w:p w14:paraId="1ED0EB10" w14:textId="736093D9" w:rsidR="0048477C" w:rsidRPr="0048477C" w:rsidRDefault="0048477C" w:rsidP="000F0B54">
            <w:pPr>
              <w:rPr>
                <w:rFonts w:asciiTheme="majorHAnsi" w:hAnsiTheme="majorHAnsi" w:cstheme="majorHAnsi"/>
                <w:sz w:val="24"/>
                <w:szCs w:val="24"/>
              </w:rPr>
            </w:pPr>
            <w:r w:rsidRPr="0048477C">
              <w:rPr>
                <w:rFonts w:asciiTheme="majorHAnsi" w:hAnsiTheme="majorHAnsi" w:cstheme="majorHAnsi"/>
                <w:sz w:val="24"/>
                <w:szCs w:val="24"/>
              </w:rPr>
              <w:t>Desirable</w:t>
            </w:r>
          </w:p>
        </w:tc>
      </w:tr>
      <w:tr w:rsidR="0048477C" w:rsidRPr="0048477C" w14:paraId="756197FE" w14:textId="77777777" w:rsidTr="0048477C">
        <w:tc>
          <w:tcPr>
            <w:tcW w:w="2952" w:type="dxa"/>
          </w:tcPr>
          <w:p w14:paraId="5BF8D626" w14:textId="0FB6CB6A" w:rsidR="0048477C" w:rsidRPr="0048477C" w:rsidRDefault="0048477C" w:rsidP="000F0B54">
            <w:pPr>
              <w:rPr>
                <w:rFonts w:asciiTheme="majorHAnsi" w:hAnsiTheme="majorHAnsi" w:cstheme="majorHAnsi"/>
                <w:sz w:val="24"/>
                <w:szCs w:val="24"/>
              </w:rPr>
            </w:pPr>
            <w:r w:rsidRPr="0048477C">
              <w:rPr>
                <w:rFonts w:asciiTheme="majorHAnsi" w:hAnsiTheme="majorHAnsi" w:cstheme="majorHAnsi"/>
                <w:sz w:val="24"/>
                <w:szCs w:val="24"/>
              </w:rPr>
              <w:t>Qualifications &amp; Registration</w:t>
            </w:r>
          </w:p>
        </w:tc>
        <w:tc>
          <w:tcPr>
            <w:tcW w:w="2952" w:type="dxa"/>
          </w:tcPr>
          <w:p w14:paraId="3938B78B" w14:textId="77777777" w:rsidR="009E02C6" w:rsidRPr="009E02C6" w:rsidRDefault="009E02C6" w:rsidP="009E02C6">
            <w:pPr>
              <w:rPr>
                <w:rFonts w:asciiTheme="majorHAnsi" w:hAnsiTheme="majorHAnsi" w:cstheme="majorHAnsi"/>
                <w:sz w:val="24"/>
                <w:szCs w:val="24"/>
                <w:lang w:val="en-GB"/>
              </w:rPr>
            </w:pPr>
            <w:r w:rsidRPr="009E02C6">
              <w:rPr>
                <w:rFonts w:asciiTheme="majorHAnsi" w:hAnsiTheme="majorHAnsi" w:cstheme="majorHAnsi"/>
                <w:sz w:val="24"/>
                <w:szCs w:val="24"/>
                <w:lang w:val="en-GB"/>
              </w:rPr>
              <w:t>Appropriate professional qualification RGN, or Paramedic</w:t>
            </w:r>
          </w:p>
          <w:p w14:paraId="47A69BC2" w14:textId="43A8AEDB" w:rsidR="009E02C6" w:rsidRPr="009E02C6" w:rsidRDefault="009E02C6" w:rsidP="009E02C6">
            <w:pPr>
              <w:rPr>
                <w:rFonts w:asciiTheme="majorHAnsi" w:hAnsiTheme="majorHAnsi" w:cstheme="majorHAnsi"/>
                <w:sz w:val="24"/>
                <w:szCs w:val="24"/>
                <w:lang w:val="en-GB"/>
              </w:rPr>
            </w:pPr>
            <w:r w:rsidRPr="009E02C6">
              <w:rPr>
                <w:rFonts w:asciiTheme="majorHAnsi" w:hAnsiTheme="majorHAnsi" w:cstheme="majorHAnsi"/>
                <w:sz w:val="24"/>
                <w:szCs w:val="24"/>
                <w:lang w:val="en-GB"/>
              </w:rPr>
              <w:t>Professional UK registration e.g. NMC / HCPC</w:t>
            </w:r>
          </w:p>
          <w:p w14:paraId="2B8E58FA" w14:textId="4FE612DB" w:rsidR="0048477C" w:rsidRDefault="0048477C" w:rsidP="000F0B54">
            <w:pPr>
              <w:rPr>
                <w:rFonts w:asciiTheme="majorHAnsi" w:hAnsiTheme="majorHAnsi" w:cstheme="majorHAnsi"/>
                <w:sz w:val="24"/>
                <w:szCs w:val="24"/>
              </w:rPr>
            </w:pPr>
            <w:r w:rsidRPr="0048477C">
              <w:rPr>
                <w:rFonts w:asciiTheme="majorHAnsi" w:hAnsiTheme="majorHAnsi" w:cstheme="majorHAnsi"/>
                <w:sz w:val="24"/>
                <w:szCs w:val="24"/>
              </w:rPr>
              <w:t xml:space="preserve">Advanced assessment skills </w:t>
            </w:r>
          </w:p>
          <w:p w14:paraId="0D9D9978" w14:textId="77777777" w:rsidR="009E02C6" w:rsidRPr="009E02C6" w:rsidRDefault="009E02C6" w:rsidP="009E02C6">
            <w:pPr>
              <w:rPr>
                <w:rFonts w:asciiTheme="majorHAnsi" w:hAnsiTheme="majorHAnsi" w:cstheme="majorHAnsi"/>
                <w:sz w:val="24"/>
                <w:szCs w:val="24"/>
                <w:lang w:val="en-GB"/>
              </w:rPr>
            </w:pPr>
            <w:r w:rsidRPr="009E02C6">
              <w:rPr>
                <w:rFonts w:asciiTheme="majorHAnsi" w:hAnsiTheme="majorHAnsi" w:cstheme="majorHAnsi"/>
                <w:sz w:val="24"/>
                <w:szCs w:val="24"/>
                <w:lang w:val="en-GB"/>
              </w:rPr>
              <w:t>Level 6 or 7 advanced history taking and physical examination</w:t>
            </w:r>
          </w:p>
          <w:p w14:paraId="743C5E8C" w14:textId="5E6A2113" w:rsidR="009E02C6" w:rsidRPr="009E02C6" w:rsidRDefault="009E02C6" w:rsidP="000F0B54">
            <w:pPr>
              <w:rPr>
                <w:rFonts w:asciiTheme="majorHAnsi" w:hAnsiTheme="majorHAnsi" w:cstheme="majorHAnsi"/>
                <w:sz w:val="24"/>
                <w:szCs w:val="24"/>
                <w:lang w:val="en-GB"/>
              </w:rPr>
            </w:pPr>
            <w:r w:rsidRPr="009E02C6">
              <w:rPr>
                <w:rFonts w:asciiTheme="majorHAnsi" w:hAnsiTheme="majorHAnsi" w:cstheme="majorHAnsi"/>
                <w:sz w:val="24"/>
                <w:szCs w:val="24"/>
                <w:lang w:val="en-GB"/>
              </w:rPr>
              <w:t>Level 6 or 7 diagnostics and decision making or evidence of autonomous decision making in practice</w:t>
            </w:r>
          </w:p>
        </w:tc>
        <w:tc>
          <w:tcPr>
            <w:tcW w:w="2952" w:type="dxa"/>
          </w:tcPr>
          <w:p w14:paraId="4B040C88" w14:textId="50A248EE" w:rsidR="0048477C" w:rsidRPr="0048477C" w:rsidRDefault="0048477C" w:rsidP="000F0B54">
            <w:pPr>
              <w:rPr>
                <w:rFonts w:asciiTheme="majorHAnsi" w:hAnsiTheme="majorHAnsi" w:cstheme="majorHAnsi"/>
                <w:sz w:val="24"/>
                <w:szCs w:val="24"/>
              </w:rPr>
            </w:pPr>
            <w:r w:rsidRPr="0048477C">
              <w:rPr>
                <w:rFonts w:asciiTheme="majorHAnsi" w:hAnsiTheme="majorHAnsi" w:cstheme="majorHAnsi"/>
                <w:sz w:val="24"/>
                <w:szCs w:val="24"/>
              </w:rPr>
              <w:t>Non-medical prescribing; MSc ACP</w:t>
            </w:r>
          </w:p>
        </w:tc>
      </w:tr>
      <w:tr w:rsidR="0048477C" w:rsidRPr="0048477C" w14:paraId="6A838BF8" w14:textId="77777777" w:rsidTr="0048477C">
        <w:tc>
          <w:tcPr>
            <w:tcW w:w="2952" w:type="dxa"/>
          </w:tcPr>
          <w:p w14:paraId="3C10DC44" w14:textId="267C4993" w:rsidR="0048477C" w:rsidRPr="0048477C" w:rsidRDefault="0048477C" w:rsidP="000F0B54">
            <w:pPr>
              <w:rPr>
                <w:rFonts w:asciiTheme="majorHAnsi" w:hAnsiTheme="majorHAnsi" w:cstheme="majorHAnsi"/>
                <w:sz w:val="24"/>
                <w:szCs w:val="24"/>
              </w:rPr>
            </w:pPr>
            <w:r w:rsidRPr="0048477C">
              <w:rPr>
                <w:rFonts w:asciiTheme="majorHAnsi" w:hAnsiTheme="majorHAnsi" w:cstheme="majorHAnsi"/>
                <w:sz w:val="24"/>
                <w:szCs w:val="24"/>
              </w:rPr>
              <w:t>Experience</w:t>
            </w:r>
          </w:p>
        </w:tc>
        <w:tc>
          <w:tcPr>
            <w:tcW w:w="2952" w:type="dxa"/>
          </w:tcPr>
          <w:p w14:paraId="6DDEF33E" w14:textId="4BC65035" w:rsidR="0048477C" w:rsidRPr="0048477C" w:rsidRDefault="0048477C" w:rsidP="000F0B54">
            <w:pPr>
              <w:rPr>
                <w:rFonts w:asciiTheme="majorHAnsi" w:hAnsiTheme="majorHAnsi" w:cstheme="majorHAnsi"/>
                <w:sz w:val="24"/>
                <w:szCs w:val="24"/>
              </w:rPr>
            </w:pPr>
            <w:r w:rsidRPr="0048477C">
              <w:rPr>
                <w:rFonts w:asciiTheme="majorHAnsi" w:hAnsiTheme="majorHAnsi" w:cstheme="majorHAnsi"/>
                <w:sz w:val="24"/>
                <w:szCs w:val="24"/>
              </w:rPr>
              <w:t>Experience in urgent, primary, community or emergency care; Senior autonomous practice</w:t>
            </w:r>
          </w:p>
        </w:tc>
        <w:tc>
          <w:tcPr>
            <w:tcW w:w="2952" w:type="dxa"/>
          </w:tcPr>
          <w:p w14:paraId="1D2689DC" w14:textId="0479F249" w:rsidR="0048477C" w:rsidRPr="0048477C" w:rsidRDefault="0048477C" w:rsidP="000F0B54">
            <w:pPr>
              <w:rPr>
                <w:rFonts w:asciiTheme="majorHAnsi" w:hAnsiTheme="majorHAnsi" w:cstheme="majorHAnsi"/>
                <w:sz w:val="24"/>
                <w:szCs w:val="24"/>
              </w:rPr>
            </w:pPr>
            <w:r w:rsidRPr="0048477C">
              <w:rPr>
                <w:rFonts w:asciiTheme="majorHAnsi" w:hAnsiTheme="majorHAnsi" w:cstheme="majorHAnsi"/>
                <w:sz w:val="24"/>
                <w:szCs w:val="24"/>
              </w:rPr>
              <w:t>PCN experience; Admission avoidance work</w:t>
            </w:r>
          </w:p>
        </w:tc>
      </w:tr>
      <w:tr w:rsidR="0048477C" w:rsidRPr="0048477C" w14:paraId="4ED1B3C3" w14:textId="77777777" w:rsidTr="0048477C">
        <w:tc>
          <w:tcPr>
            <w:tcW w:w="2952" w:type="dxa"/>
          </w:tcPr>
          <w:p w14:paraId="539D9B22" w14:textId="40B3DF7A" w:rsidR="0048477C" w:rsidRPr="0048477C" w:rsidRDefault="0048477C" w:rsidP="0048477C">
            <w:pPr>
              <w:rPr>
                <w:rFonts w:asciiTheme="majorHAnsi" w:hAnsiTheme="majorHAnsi" w:cstheme="majorHAnsi"/>
                <w:sz w:val="24"/>
                <w:szCs w:val="24"/>
              </w:rPr>
            </w:pPr>
            <w:r w:rsidRPr="0048477C">
              <w:rPr>
                <w:rFonts w:asciiTheme="majorHAnsi" w:hAnsiTheme="majorHAnsi" w:cstheme="majorHAnsi"/>
                <w:sz w:val="24"/>
                <w:szCs w:val="24"/>
              </w:rPr>
              <w:t>Clinical Skills</w:t>
            </w:r>
          </w:p>
        </w:tc>
        <w:tc>
          <w:tcPr>
            <w:tcW w:w="2952" w:type="dxa"/>
          </w:tcPr>
          <w:p w14:paraId="605552B9" w14:textId="100875DA" w:rsidR="0048477C" w:rsidRPr="0048477C" w:rsidRDefault="0048477C" w:rsidP="0048477C">
            <w:pPr>
              <w:rPr>
                <w:rFonts w:asciiTheme="majorHAnsi" w:hAnsiTheme="majorHAnsi" w:cstheme="majorHAnsi"/>
                <w:sz w:val="24"/>
                <w:szCs w:val="24"/>
              </w:rPr>
            </w:pPr>
            <w:r w:rsidRPr="0048477C">
              <w:rPr>
                <w:rFonts w:asciiTheme="majorHAnsi" w:hAnsiTheme="majorHAnsi" w:cstheme="majorHAnsi"/>
                <w:sz w:val="24"/>
                <w:szCs w:val="24"/>
              </w:rPr>
              <w:t>Advanced assessment; Acute management; Lone working capability</w:t>
            </w:r>
          </w:p>
        </w:tc>
        <w:tc>
          <w:tcPr>
            <w:tcW w:w="2952" w:type="dxa"/>
          </w:tcPr>
          <w:p w14:paraId="44536836" w14:textId="6F3E09C7" w:rsidR="0048477C" w:rsidRPr="0048477C" w:rsidRDefault="0048477C" w:rsidP="0048477C">
            <w:pPr>
              <w:rPr>
                <w:rFonts w:asciiTheme="majorHAnsi" w:hAnsiTheme="majorHAnsi" w:cstheme="majorHAnsi"/>
                <w:sz w:val="24"/>
                <w:szCs w:val="24"/>
              </w:rPr>
            </w:pPr>
            <w:r w:rsidRPr="0048477C">
              <w:rPr>
                <w:rFonts w:asciiTheme="majorHAnsi" w:hAnsiTheme="majorHAnsi" w:cstheme="majorHAnsi"/>
                <w:sz w:val="24"/>
                <w:szCs w:val="24"/>
              </w:rPr>
              <w:t>Home visiting experience</w:t>
            </w:r>
          </w:p>
        </w:tc>
      </w:tr>
      <w:tr w:rsidR="0048477C" w:rsidRPr="0048477C" w14:paraId="448ADA2C" w14:textId="77777777" w:rsidTr="0048477C">
        <w:trPr>
          <w:trHeight w:val="397"/>
        </w:trPr>
        <w:tc>
          <w:tcPr>
            <w:tcW w:w="2952" w:type="dxa"/>
          </w:tcPr>
          <w:p w14:paraId="5DEA1901" w14:textId="52E15FB2" w:rsidR="0048477C" w:rsidRPr="0048477C" w:rsidRDefault="0048477C" w:rsidP="0048477C">
            <w:pPr>
              <w:rPr>
                <w:rFonts w:asciiTheme="majorHAnsi" w:hAnsiTheme="majorHAnsi" w:cstheme="majorHAnsi"/>
                <w:sz w:val="24"/>
                <w:szCs w:val="24"/>
              </w:rPr>
            </w:pPr>
            <w:r w:rsidRPr="0048477C">
              <w:rPr>
                <w:rFonts w:asciiTheme="majorHAnsi" w:hAnsiTheme="majorHAnsi" w:cstheme="majorHAnsi"/>
                <w:sz w:val="24"/>
                <w:szCs w:val="24"/>
              </w:rPr>
              <w:t>Knowledge</w:t>
            </w:r>
          </w:p>
        </w:tc>
        <w:tc>
          <w:tcPr>
            <w:tcW w:w="2952" w:type="dxa"/>
          </w:tcPr>
          <w:p w14:paraId="78CE1B0B" w14:textId="2F0C2221" w:rsidR="0048477C" w:rsidRPr="0048477C" w:rsidRDefault="0048477C" w:rsidP="0048477C">
            <w:pPr>
              <w:rPr>
                <w:rFonts w:asciiTheme="majorHAnsi" w:hAnsiTheme="majorHAnsi" w:cstheme="majorHAnsi"/>
                <w:sz w:val="24"/>
                <w:szCs w:val="24"/>
              </w:rPr>
            </w:pPr>
            <w:r w:rsidRPr="0048477C">
              <w:rPr>
                <w:rFonts w:asciiTheme="majorHAnsi" w:hAnsiTheme="majorHAnsi" w:cstheme="majorHAnsi"/>
                <w:sz w:val="24"/>
                <w:szCs w:val="24"/>
              </w:rPr>
              <w:t>Primary/urgent care models; Governance; Safeguarding</w:t>
            </w:r>
          </w:p>
        </w:tc>
        <w:tc>
          <w:tcPr>
            <w:tcW w:w="2952" w:type="dxa"/>
          </w:tcPr>
          <w:p w14:paraId="34F1E709" w14:textId="77777777" w:rsidR="0048477C" w:rsidRPr="0048477C" w:rsidRDefault="0048477C" w:rsidP="0048477C">
            <w:pPr>
              <w:rPr>
                <w:rFonts w:asciiTheme="majorHAnsi" w:hAnsiTheme="majorHAnsi" w:cstheme="majorHAnsi"/>
                <w:sz w:val="24"/>
                <w:szCs w:val="24"/>
              </w:rPr>
            </w:pPr>
            <w:r w:rsidRPr="0048477C">
              <w:rPr>
                <w:rFonts w:asciiTheme="majorHAnsi" w:hAnsiTheme="majorHAnsi" w:cstheme="majorHAnsi"/>
                <w:sz w:val="24"/>
                <w:szCs w:val="24"/>
              </w:rPr>
              <w:t xml:space="preserve">Integrated </w:t>
            </w:r>
            <w:proofErr w:type="spellStart"/>
            <w:r w:rsidRPr="0048477C">
              <w:rPr>
                <w:rFonts w:asciiTheme="majorHAnsi" w:hAnsiTheme="majorHAnsi" w:cstheme="majorHAnsi"/>
                <w:sz w:val="24"/>
                <w:szCs w:val="24"/>
              </w:rPr>
              <w:t>neighbourhood</w:t>
            </w:r>
            <w:proofErr w:type="spellEnd"/>
            <w:r w:rsidRPr="0048477C">
              <w:rPr>
                <w:rFonts w:asciiTheme="majorHAnsi" w:hAnsiTheme="majorHAnsi" w:cstheme="majorHAnsi"/>
                <w:sz w:val="24"/>
                <w:szCs w:val="24"/>
              </w:rPr>
              <w:t xml:space="preserve"> working knowledge</w:t>
            </w:r>
          </w:p>
          <w:p w14:paraId="15F0737A" w14:textId="5DC856B7" w:rsidR="0048477C" w:rsidRPr="0048477C" w:rsidRDefault="0048477C" w:rsidP="0048477C">
            <w:pPr>
              <w:rPr>
                <w:rFonts w:asciiTheme="majorHAnsi" w:hAnsiTheme="majorHAnsi" w:cstheme="majorHAnsi"/>
                <w:sz w:val="24"/>
                <w:szCs w:val="24"/>
              </w:rPr>
            </w:pPr>
            <w:r w:rsidRPr="0048477C">
              <w:rPr>
                <w:rFonts w:asciiTheme="majorHAnsi" w:hAnsiTheme="majorHAnsi" w:cstheme="majorHAnsi"/>
                <w:sz w:val="24"/>
                <w:szCs w:val="24"/>
              </w:rPr>
              <w:t xml:space="preserve">EMIS </w:t>
            </w:r>
          </w:p>
        </w:tc>
      </w:tr>
    </w:tbl>
    <w:p w14:paraId="16CABE15" w14:textId="77777777" w:rsidR="00797BB7" w:rsidRPr="00797BB7" w:rsidRDefault="00797BB7" w:rsidP="000F0B54">
      <w:pPr>
        <w:rPr>
          <w:rFonts w:asciiTheme="majorHAnsi" w:hAnsiTheme="majorHAnsi" w:cstheme="majorHAnsi"/>
          <w:sz w:val="22"/>
          <w:szCs w:val="22"/>
        </w:rPr>
      </w:pPr>
    </w:p>
    <w:p w14:paraId="51AC81E9" w14:textId="509B85BA" w:rsidR="00E243FE" w:rsidRPr="00797BB7" w:rsidRDefault="00E243FE" w:rsidP="000F0B54">
      <w:pPr>
        <w:rPr>
          <w:rFonts w:asciiTheme="majorHAnsi" w:hAnsiTheme="majorHAnsi" w:cstheme="majorHAnsi"/>
          <w:sz w:val="22"/>
          <w:szCs w:val="22"/>
        </w:rPr>
      </w:pPr>
    </w:p>
    <w:sectPr w:rsidR="00E243FE" w:rsidRPr="00797BB7"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CAB37" w14:textId="77777777" w:rsidR="00945662" w:rsidRDefault="00945662" w:rsidP="000F0B54">
      <w:pPr>
        <w:spacing w:after="0" w:line="240" w:lineRule="auto"/>
      </w:pPr>
      <w:r>
        <w:separator/>
      </w:r>
    </w:p>
  </w:endnote>
  <w:endnote w:type="continuationSeparator" w:id="0">
    <w:p w14:paraId="2F27F77B" w14:textId="77777777" w:rsidR="00945662" w:rsidRDefault="00945662" w:rsidP="000F0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8D79C" w14:textId="77777777" w:rsidR="00945662" w:rsidRDefault="00945662" w:rsidP="000F0B54">
      <w:pPr>
        <w:spacing w:after="0" w:line="240" w:lineRule="auto"/>
      </w:pPr>
      <w:r>
        <w:separator/>
      </w:r>
    </w:p>
  </w:footnote>
  <w:footnote w:type="continuationSeparator" w:id="0">
    <w:p w14:paraId="3300E249" w14:textId="77777777" w:rsidR="00945662" w:rsidRDefault="00945662" w:rsidP="000F0B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E83D9" w14:textId="44798925" w:rsidR="000F0B54" w:rsidRDefault="000F0B54" w:rsidP="000F0B54">
    <w:pPr>
      <w:pStyle w:val="Header"/>
      <w:jc w:val="center"/>
    </w:pPr>
    <w:r w:rsidRPr="000F0B54">
      <w:rPr>
        <w:noProof/>
      </w:rPr>
      <w:drawing>
        <wp:inline distT="0" distB="0" distL="0" distR="0" wp14:anchorId="058F1933" wp14:editId="7656CADF">
          <wp:extent cx="1394460" cy="1005496"/>
          <wp:effectExtent l="0" t="0" r="0" b="4445"/>
          <wp:docPr id="1263343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265632" name=""/>
                  <pic:cNvPicPr/>
                </pic:nvPicPr>
                <pic:blipFill>
                  <a:blip r:embed="rId1"/>
                  <a:stretch>
                    <a:fillRect/>
                  </a:stretch>
                </pic:blipFill>
                <pic:spPr>
                  <a:xfrm>
                    <a:off x="0" y="0"/>
                    <a:ext cx="1408319" cy="1015489"/>
                  </a:xfrm>
                  <a:prstGeom prst="rect">
                    <a:avLst/>
                  </a:prstGeom>
                </pic:spPr>
              </pic:pic>
            </a:graphicData>
          </a:graphic>
        </wp:inline>
      </w:drawing>
    </w:r>
  </w:p>
  <w:p w14:paraId="3AB38A7B" w14:textId="77777777" w:rsidR="000F0B54" w:rsidRDefault="000F0B54" w:rsidP="000F0B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891B36"/>
    <w:multiLevelType w:val="multilevel"/>
    <w:tmpl w:val="196C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A63722"/>
    <w:multiLevelType w:val="multilevel"/>
    <w:tmpl w:val="C132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E41912"/>
    <w:multiLevelType w:val="multilevel"/>
    <w:tmpl w:val="0ABC2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284D8A"/>
    <w:multiLevelType w:val="multilevel"/>
    <w:tmpl w:val="DAE8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474E4D"/>
    <w:multiLevelType w:val="multilevel"/>
    <w:tmpl w:val="442E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A36EB6"/>
    <w:multiLevelType w:val="multilevel"/>
    <w:tmpl w:val="29483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C715A9"/>
    <w:multiLevelType w:val="multilevel"/>
    <w:tmpl w:val="440E4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97B1C"/>
    <w:multiLevelType w:val="multilevel"/>
    <w:tmpl w:val="705E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E37915"/>
    <w:multiLevelType w:val="multilevel"/>
    <w:tmpl w:val="ECB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3348481">
    <w:abstractNumId w:val="8"/>
  </w:num>
  <w:num w:numId="2" w16cid:durableId="480662789">
    <w:abstractNumId w:val="6"/>
  </w:num>
  <w:num w:numId="3" w16cid:durableId="627735102">
    <w:abstractNumId w:val="5"/>
  </w:num>
  <w:num w:numId="4" w16cid:durableId="1092312312">
    <w:abstractNumId w:val="4"/>
  </w:num>
  <w:num w:numId="5" w16cid:durableId="1872957184">
    <w:abstractNumId w:val="7"/>
  </w:num>
  <w:num w:numId="6" w16cid:durableId="371224201">
    <w:abstractNumId w:val="3"/>
  </w:num>
  <w:num w:numId="7" w16cid:durableId="863782699">
    <w:abstractNumId w:val="2"/>
  </w:num>
  <w:num w:numId="8" w16cid:durableId="255554346">
    <w:abstractNumId w:val="1"/>
  </w:num>
  <w:num w:numId="9" w16cid:durableId="1766337134">
    <w:abstractNumId w:val="0"/>
  </w:num>
  <w:num w:numId="10" w16cid:durableId="643046486">
    <w:abstractNumId w:val="12"/>
  </w:num>
  <w:num w:numId="11" w16cid:durableId="2020963202">
    <w:abstractNumId w:val="16"/>
  </w:num>
  <w:num w:numId="12" w16cid:durableId="1426658017">
    <w:abstractNumId w:val="10"/>
  </w:num>
  <w:num w:numId="13" w16cid:durableId="1750148789">
    <w:abstractNumId w:val="9"/>
  </w:num>
  <w:num w:numId="14" w16cid:durableId="1168400833">
    <w:abstractNumId w:val="11"/>
  </w:num>
  <w:num w:numId="15" w16cid:durableId="1497839647">
    <w:abstractNumId w:val="17"/>
  </w:num>
  <w:num w:numId="16" w16cid:durableId="2032341424">
    <w:abstractNumId w:val="13"/>
  </w:num>
  <w:num w:numId="17" w16cid:durableId="1020594821">
    <w:abstractNumId w:val="14"/>
  </w:num>
  <w:num w:numId="18" w16cid:durableId="15977079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63B9"/>
    <w:rsid w:val="0006063C"/>
    <w:rsid w:val="000D0346"/>
    <w:rsid w:val="000F0B54"/>
    <w:rsid w:val="0015074B"/>
    <w:rsid w:val="001B2E0C"/>
    <w:rsid w:val="0029639D"/>
    <w:rsid w:val="00326F90"/>
    <w:rsid w:val="00337FEA"/>
    <w:rsid w:val="0048477C"/>
    <w:rsid w:val="005A4A52"/>
    <w:rsid w:val="0060780D"/>
    <w:rsid w:val="006E20BD"/>
    <w:rsid w:val="00797BB7"/>
    <w:rsid w:val="008E34FE"/>
    <w:rsid w:val="00945662"/>
    <w:rsid w:val="009E02C6"/>
    <w:rsid w:val="00AA1D8D"/>
    <w:rsid w:val="00B47730"/>
    <w:rsid w:val="00CB0664"/>
    <w:rsid w:val="00CC66C4"/>
    <w:rsid w:val="00D22DEC"/>
    <w:rsid w:val="00DF3F7A"/>
    <w:rsid w:val="00E243FE"/>
    <w:rsid w:val="00EE3E22"/>
    <w:rsid w:val="00FC693F"/>
    <w:rsid w:val="00FE0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66343B"/>
  <w14:defaultImageDpi w14:val="300"/>
  <w15:docId w15:val="{FD8ACB5E-A3F4-4EEC-833C-177FE9C66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F7A"/>
  </w:style>
  <w:style w:type="paragraph" w:styleId="Heading1">
    <w:name w:val="heading 1"/>
    <w:basedOn w:val="Normal"/>
    <w:next w:val="Normal"/>
    <w:link w:val="Heading1Char"/>
    <w:uiPriority w:val="9"/>
    <w:qFormat/>
    <w:rsid w:val="00DF3F7A"/>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F3F7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DF3F7A"/>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DF3F7A"/>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F3F7A"/>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DF3F7A"/>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DF3F7A"/>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DF3F7A"/>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DF3F7A"/>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DF3F7A"/>
    <w:pPr>
      <w:spacing w:after="0" w:line="240" w:lineRule="auto"/>
    </w:pPr>
  </w:style>
  <w:style w:type="character" w:customStyle="1" w:styleId="Heading1Char">
    <w:name w:val="Heading 1 Char"/>
    <w:basedOn w:val="DefaultParagraphFont"/>
    <w:link w:val="Heading1"/>
    <w:uiPriority w:val="9"/>
    <w:rsid w:val="00DF3F7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F3F7A"/>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DF3F7A"/>
    <w:rPr>
      <w:rFonts w:asciiTheme="majorHAnsi" w:eastAsiaTheme="majorEastAsia" w:hAnsiTheme="majorHAnsi" w:cstheme="majorBidi"/>
      <w:color w:val="1F497D" w:themeColor="text2"/>
      <w:sz w:val="24"/>
      <w:szCs w:val="24"/>
    </w:rPr>
  </w:style>
  <w:style w:type="paragraph" w:styleId="Title">
    <w:name w:val="Title"/>
    <w:basedOn w:val="Normal"/>
    <w:next w:val="Normal"/>
    <w:link w:val="TitleChar"/>
    <w:uiPriority w:val="10"/>
    <w:qFormat/>
    <w:rsid w:val="00DF3F7A"/>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DF3F7A"/>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DF3F7A"/>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F3F7A"/>
    <w:rPr>
      <w:rFonts w:asciiTheme="majorHAnsi" w:eastAsiaTheme="majorEastAsia" w:hAnsiTheme="majorHAnsi" w:cstheme="majorBidi"/>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DF3F7A"/>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F3F7A"/>
    <w:rPr>
      <w:i/>
      <w:iCs/>
      <w:color w:val="404040" w:themeColor="text1" w:themeTint="BF"/>
    </w:rPr>
  </w:style>
  <w:style w:type="character" w:customStyle="1" w:styleId="Heading4Char">
    <w:name w:val="Heading 4 Char"/>
    <w:basedOn w:val="DefaultParagraphFont"/>
    <w:link w:val="Heading4"/>
    <w:uiPriority w:val="9"/>
    <w:semiHidden/>
    <w:rsid w:val="00DF3F7A"/>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DF3F7A"/>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DF3F7A"/>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DF3F7A"/>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DF3F7A"/>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DF3F7A"/>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DF3F7A"/>
    <w:pPr>
      <w:spacing w:line="240" w:lineRule="auto"/>
    </w:pPr>
    <w:rPr>
      <w:b/>
      <w:bCs/>
      <w:smallCaps/>
      <w:color w:val="595959" w:themeColor="text1" w:themeTint="A6"/>
      <w:spacing w:val="6"/>
    </w:rPr>
  </w:style>
  <w:style w:type="character" w:styleId="Strong">
    <w:name w:val="Strong"/>
    <w:basedOn w:val="DefaultParagraphFont"/>
    <w:uiPriority w:val="22"/>
    <w:qFormat/>
    <w:rsid w:val="00DF3F7A"/>
    <w:rPr>
      <w:b/>
      <w:bCs/>
    </w:rPr>
  </w:style>
  <w:style w:type="character" w:styleId="Emphasis">
    <w:name w:val="Emphasis"/>
    <w:basedOn w:val="DefaultParagraphFont"/>
    <w:uiPriority w:val="20"/>
    <w:qFormat/>
    <w:rsid w:val="00DF3F7A"/>
    <w:rPr>
      <w:i/>
      <w:iCs/>
    </w:rPr>
  </w:style>
  <w:style w:type="paragraph" w:styleId="IntenseQuote">
    <w:name w:val="Intense Quote"/>
    <w:basedOn w:val="Normal"/>
    <w:next w:val="Normal"/>
    <w:link w:val="IntenseQuoteChar"/>
    <w:uiPriority w:val="30"/>
    <w:qFormat/>
    <w:rsid w:val="00DF3F7A"/>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DF3F7A"/>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DF3F7A"/>
    <w:rPr>
      <w:i/>
      <w:iCs/>
      <w:color w:val="404040" w:themeColor="text1" w:themeTint="BF"/>
    </w:rPr>
  </w:style>
  <w:style w:type="character" w:styleId="IntenseEmphasis">
    <w:name w:val="Intense Emphasis"/>
    <w:basedOn w:val="DefaultParagraphFont"/>
    <w:uiPriority w:val="21"/>
    <w:qFormat/>
    <w:rsid w:val="00DF3F7A"/>
    <w:rPr>
      <w:b/>
      <w:bCs/>
      <w:i/>
      <w:iCs/>
    </w:rPr>
  </w:style>
  <w:style w:type="character" w:styleId="SubtleReference">
    <w:name w:val="Subtle Reference"/>
    <w:basedOn w:val="DefaultParagraphFont"/>
    <w:uiPriority w:val="31"/>
    <w:qFormat/>
    <w:rsid w:val="00DF3F7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F3F7A"/>
    <w:rPr>
      <w:b/>
      <w:bCs/>
      <w:smallCaps/>
      <w:spacing w:val="5"/>
      <w:u w:val="single"/>
    </w:rPr>
  </w:style>
  <w:style w:type="character" w:styleId="BookTitle">
    <w:name w:val="Book Title"/>
    <w:basedOn w:val="DefaultParagraphFont"/>
    <w:uiPriority w:val="33"/>
    <w:qFormat/>
    <w:rsid w:val="00DF3F7A"/>
    <w:rPr>
      <w:b/>
      <w:bCs/>
      <w:smallCaps/>
    </w:rPr>
  </w:style>
  <w:style w:type="paragraph" w:styleId="TOCHeading">
    <w:name w:val="TOC Heading"/>
    <w:basedOn w:val="Heading1"/>
    <w:next w:val="Normal"/>
    <w:uiPriority w:val="39"/>
    <w:semiHidden/>
    <w:unhideWhenUsed/>
    <w:qFormat/>
    <w:rsid w:val="00DF3F7A"/>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97BB7"/>
    <w:rPr>
      <w:color w:val="0000FF" w:themeColor="hyperlink"/>
      <w:u w:val="single"/>
    </w:rPr>
  </w:style>
  <w:style w:type="character" w:styleId="UnresolvedMention">
    <w:name w:val="Unresolved Mention"/>
    <w:basedOn w:val="DefaultParagraphFont"/>
    <w:uiPriority w:val="99"/>
    <w:semiHidden/>
    <w:unhideWhenUsed/>
    <w:rsid w:val="00797B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29925">
      <w:bodyDiv w:val="1"/>
      <w:marLeft w:val="0"/>
      <w:marRight w:val="0"/>
      <w:marTop w:val="0"/>
      <w:marBottom w:val="0"/>
      <w:divBdr>
        <w:top w:val="none" w:sz="0" w:space="0" w:color="auto"/>
        <w:left w:val="none" w:sz="0" w:space="0" w:color="auto"/>
        <w:bottom w:val="none" w:sz="0" w:space="0" w:color="auto"/>
        <w:right w:val="none" w:sz="0" w:space="0" w:color="auto"/>
      </w:divBdr>
    </w:div>
    <w:div w:id="388067945">
      <w:bodyDiv w:val="1"/>
      <w:marLeft w:val="0"/>
      <w:marRight w:val="0"/>
      <w:marTop w:val="0"/>
      <w:marBottom w:val="0"/>
      <w:divBdr>
        <w:top w:val="none" w:sz="0" w:space="0" w:color="auto"/>
        <w:left w:val="none" w:sz="0" w:space="0" w:color="auto"/>
        <w:bottom w:val="none" w:sz="0" w:space="0" w:color="auto"/>
        <w:right w:val="none" w:sz="0" w:space="0" w:color="auto"/>
      </w:divBdr>
    </w:div>
    <w:div w:id="433325391">
      <w:bodyDiv w:val="1"/>
      <w:marLeft w:val="0"/>
      <w:marRight w:val="0"/>
      <w:marTop w:val="0"/>
      <w:marBottom w:val="0"/>
      <w:divBdr>
        <w:top w:val="none" w:sz="0" w:space="0" w:color="auto"/>
        <w:left w:val="none" w:sz="0" w:space="0" w:color="auto"/>
        <w:bottom w:val="none" w:sz="0" w:space="0" w:color="auto"/>
        <w:right w:val="none" w:sz="0" w:space="0" w:color="auto"/>
      </w:divBdr>
    </w:div>
    <w:div w:id="497383504">
      <w:bodyDiv w:val="1"/>
      <w:marLeft w:val="0"/>
      <w:marRight w:val="0"/>
      <w:marTop w:val="0"/>
      <w:marBottom w:val="0"/>
      <w:divBdr>
        <w:top w:val="none" w:sz="0" w:space="0" w:color="auto"/>
        <w:left w:val="none" w:sz="0" w:space="0" w:color="auto"/>
        <w:bottom w:val="none" w:sz="0" w:space="0" w:color="auto"/>
        <w:right w:val="none" w:sz="0" w:space="0" w:color="auto"/>
      </w:divBdr>
    </w:div>
    <w:div w:id="573706712">
      <w:bodyDiv w:val="1"/>
      <w:marLeft w:val="0"/>
      <w:marRight w:val="0"/>
      <w:marTop w:val="0"/>
      <w:marBottom w:val="0"/>
      <w:divBdr>
        <w:top w:val="none" w:sz="0" w:space="0" w:color="auto"/>
        <w:left w:val="none" w:sz="0" w:space="0" w:color="auto"/>
        <w:bottom w:val="none" w:sz="0" w:space="0" w:color="auto"/>
        <w:right w:val="none" w:sz="0" w:space="0" w:color="auto"/>
      </w:divBdr>
    </w:div>
    <w:div w:id="678047344">
      <w:bodyDiv w:val="1"/>
      <w:marLeft w:val="0"/>
      <w:marRight w:val="0"/>
      <w:marTop w:val="0"/>
      <w:marBottom w:val="0"/>
      <w:divBdr>
        <w:top w:val="none" w:sz="0" w:space="0" w:color="auto"/>
        <w:left w:val="none" w:sz="0" w:space="0" w:color="auto"/>
        <w:bottom w:val="none" w:sz="0" w:space="0" w:color="auto"/>
        <w:right w:val="none" w:sz="0" w:space="0" w:color="auto"/>
      </w:divBdr>
    </w:div>
    <w:div w:id="791826098">
      <w:bodyDiv w:val="1"/>
      <w:marLeft w:val="0"/>
      <w:marRight w:val="0"/>
      <w:marTop w:val="0"/>
      <w:marBottom w:val="0"/>
      <w:divBdr>
        <w:top w:val="none" w:sz="0" w:space="0" w:color="auto"/>
        <w:left w:val="none" w:sz="0" w:space="0" w:color="auto"/>
        <w:bottom w:val="none" w:sz="0" w:space="0" w:color="auto"/>
        <w:right w:val="none" w:sz="0" w:space="0" w:color="auto"/>
      </w:divBdr>
    </w:div>
    <w:div w:id="913662710">
      <w:bodyDiv w:val="1"/>
      <w:marLeft w:val="0"/>
      <w:marRight w:val="0"/>
      <w:marTop w:val="0"/>
      <w:marBottom w:val="0"/>
      <w:divBdr>
        <w:top w:val="none" w:sz="0" w:space="0" w:color="auto"/>
        <w:left w:val="none" w:sz="0" w:space="0" w:color="auto"/>
        <w:bottom w:val="none" w:sz="0" w:space="0" w:color="auto"/>
        <w:right w:val="none" w:sz="0" w:space="0" w:color="auto"/>
      </w:divBdr>
    </w:div>
    <w:div w:id="1047417748">
      <w:bodyDiv w:val="1"/>
      <w:marLeft w:val="0"/>
      <w:marRight w:val="0"/>
      <w:marTop w:val="0"/>
      <w:marBottom w:val="0"/>
      <w:divBdr>
        <w:top w:val="none" w:sz="0" w:space="0" w:color="auto"/>
        <w:left w:val="none" w:sz="0" w:space="0" w:color="auto"/>
        <w:bottom w:val="none" w:sz="0" w:space="0" w:color="auto"/>
        <w:right w:val="none" w:sz="0" w:space="0" w:color="auto"/>
      </w:divBdr>
    </w:div>
    <w:div w:id="1275476253">
      <w:bodyDiv w:val="1"/>
      <w:marLeft w:val="0"/>
      <w:marRight w:val="0"/>
      <w:marTop w:val="0"/>
      <w:marBottom w:val="0"/>
      <w:divBdr>
        <w:top w:val="none" w:sz="0" w:space="0" w:color="auto"/>
        <w:left w:val="none" w:sz="0" w:space="0" w:color="auto"/>
        <w:bottom w:val="none" w:sz="0" w:space="0" w:color="auto"/>
        <w:right w:val="none" w:sz="0" w:space="0" w:color="auto"/>
      </w:divBdr>
    </w:div>
    <w:div w:id="1804811098">
      <w:bodyDiv w:val="1"/>
      <w:marLeft w:val="0"/>
      <w:marRight w:val="0"/>
      <w:marTop w:val="0"/>
      <w:marBottom w:val="0"/>
      <w:divBdr>
        <w:top w:val="none" w:sz="0" w:space="0" w:color="auto"/>
        <w:left w:val="none" w:sz="0" w:space="0" w:color="auto"/>
        <w:bottom w:val="none" w:sz="0" w:space="0" w:color="auto"/>
        <w:right w:val="none" w:sz="0" w:space="0" w:color="auto"/>
      </w:divBdr>
    </w:div>
    <w:div w:id="1956060725">
      <w:bodyDiv w:val="1"/>
      <w:marLeft w:val="0"/>
      <w:marRight w:val="0"/>
      <w:marTop w:val="0"/>
      <w:marBottom w:val="0"/>
      <w:divBdr>
        <w:top w:val="none" w:sz="0" w:space="0" w:color="auto"/>
        <w:left w:val="none" w:sz="0" w:space="0" w:color="auto"/>
        <w:bottom w:val="none" w:sz="0" w:space="0" w:color="auto"/>
        <w:right w:val="none" w:sz="0" w:space="0" w:color="auto"/>
      </w:divBdr>
    </w:div>
    <w:div w:id="20699138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phie.speirs@nhs.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20</TotalTime>
  <Pages>5</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SPEIRS, Sophie (BISHOPS WALTHAM SURGERY)</cp:lastModifiedBy>
  <cp:revision>5</cp:revision>
  <dcterms:created xsi:type="dcterms:W3CDTF">2025-12-10T19:08:00Z</dcterms:created>
  <dcterms:modified xsi:type="dcterms:W3CDTF">2025-12-10T19:28:00Z</dcterms:modified>
  <cp:category/>
</cp:coreProperties>
</file>